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FE697E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C2539B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</w:tr>
      <w:tr w:rsidR="003C502F" w:rsidRPr="00FE697E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C2539B" w:rsidP="003C502F">
            <w:pPr>
              <w:rPr>
                <w:b/>
              </w:rPr>
            </w:pPr>
            <w:r>
              <w:rPr>
                <w:b/>
              </w:rPr>
              <w:t>Template: Ter</w:t>
            </w:r>
            <w:r w:rsidR="00C3761F">
              <w:rPr>
                <w:b/>
              </w:rPr>
              <w:t>ms of Reference for an Evaluation</w:t>
            </w:r>
          </w:p>
          <w:p w:rsidR="00C3761F" w:rsidRPr="00347961" w:rsidRDefault="00C3761F" w:rsidP="00C3761F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Terms of Reference for an evaluation. It is important </w:t>
            </w:r>
            <w:r>
              <w:rPr>
                <w:rFonts w:ascii="Arial" w:hAnsi="Arial" w:cs="Arial"/>
                <w:lang w:val="en-GB"/>
              </w:rPr>
              <w:t xml:space="preserve">to </w:t>
            </w:r>
            <w:r w:rsidRPr="00347961">
              <w:rPr>
                <w:rFonts w:ascii="Arial" w:hAnsi="Arial" w:cs="Arial"/>
                <w:lang w:val="en-GB"/>
              </w:rPr>
              <w:t>start every evaluation process by clearly defining what the priority issues to be evaluated are. The format provides a comprehensive checklist of elements that may be relevant in an evaluation. This is a menu from which the appropriate issues corresponding to priorities are selected.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FE697E" w:rsidP="009A334E">
      <w:pPr>
        <w:pStyle w:val="Heading1"/>
        <w:rPr>
          <w:lang w:val="en-US"/>
        </w:rPr>
      </w:pPr>
      <w:r>
        <w:rPr>
          <w:lang w:val="en-US"/>
        </w:rPr>
        <w:t>Management response</w:t>
      </w:r>
    </w:p>
    <w:p w:rsidR="00FE697E" w:rsidRPr="002C353B" w:rsidRDefault="00FE697E" w:rsidP="00FE697E">
      <w:pPr>
        <w:rPr>
          <w:rFonts w:ascii="Arial" w:hAnsi="Arial" w:cs="Arial"/>
          <w:lang w:val="en-GB"/>
        </w:rPr>
      </w:pPr>
      <w:r w:rsidRPr="002C353B">
        <w:rPr>
          <w:rFonts w:ascii="Arial" w:hAnsi="Arial" w:cs="Arial"/>
          <w:lang w:val="en-GB"/>
        </w:rPr>
        <w:t>For each evaluation, a management response shall be prepared by the responsible department/unit. The following template may be applied in the management response:</w:t>
      </w:r>
    </w:p>
    <w:p w:rsidR="00FE697E" w:rsidRDefault="00FE697E" w:rsidP="00FE697E">
      <w:pPr>
        <w:rPr>
          <w:rFonts w:ascii="Arial" w:hAnsi="Arial" w:cs="Arial"/>
          <w:b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653"/>
        <w:gridCol w:w="3752"/>
      </w:tblGrid>
      <w:tr w:rsidR="00FE697E" w:rsidRPr="000B5FEA" w:rsidTr="00FE697E">
        <w:tc>
          <w:tcPr>
            <w:tcW w:w="2775" w:type="dxa"/>
            <w:vMerge w:val="restart"/>
          </w:tcPr>
          <w:p w:rsidR="00FE697E" w:rsidRPr="000B5FEA" w:rsidRDefault="00FE697E" w:rsidP="00006BD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Recommendations of the evaluation</w:t>
            </w:r>
          </w:p>
        </w:tc>
        <w:tc>
          <w:tcPr>
            <w:tcW w:w="6405" w:type="dxa"/>
            <w:gridSpan w:val="2"/>
          </w:tcPr>
          <w:p w:rsidR="00FE697E" w:rsidRPr="000B5FEA" w:rsidRDefault="00FE697E" w:rsidP="00006BD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Management response</w:t>
            </w:r>
          </w:p>
        </w:tc>
      </w:tr>
      <w:tr w:rsidR="00FE697E" w:rsidRPr="000B5FEA" w:rsidTr="00FE697E">
        <w:tc>
          <w:tcPr>
            <w:tcW w:w="2775" w:type="dxa"/>
            <w:vMerge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Immediate implementation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Longer term d</w:t>
            </w:r>
            <w:r w:rsidRPr="000B5FEA">
              <w:rPr>
                <w:rFonts w:ascii="Arial" w:hAnsi="Arial" w:cs="Arial"/>
                <w:b/>
                <w:lang w:val="en-GB"/>
              </w:rPr>
              <w:t>evelopment activities</w:t>
            </w:r>
          </w:p>
        </w:tc>
      </w:tr>
      <w:tr w:rsidR="00FE697E" w:rsidRPr="00FE697E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 1</w:t>
            </w:r>
          </w:p>
        </w:tc>
        <w:tc>
          <w:tcPr>
            <w:tcW w:w="2653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  <w:tc>
          <w:tcPr>
            <w:tcW w:w="3752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no:2</w:t>
            </w:r>
          </w:p>
        </w:tc>
        <w:tc>
          <w:tcPr>
            <w:tcW w:w="2653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no:3 </w:t>
            </w: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FE697E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FE697E">
              <w:rPr>
                <w:rFonts w:ascii="Arial" w:hAnsi="Arial" w:cs="Arial"/>
                <w:b/>
                <w:lang w:val="en-GB"/>
              </w:rPr>
              <w:t>…</w:t>
            </w:r>
            <w:bookmarkStart w:id="1" w:name="_GoBack"/>
            <w:bookmarkEnd w:id="1"/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697E" w:rsidRPr="001222D8" w:rsidRDefault="00FE697E" w:rsidP="00FE697E">
      <w:pPr>
        <w:rPr>
          <w:rFonts w:ascii="Arial" w:hAnsi="Arial" w:cs="Arial"/>
          <w:b/>
          <w:lang w:val="en-GB"/>
        </w:rPr>
      </w:pPr>
    </w:p>
    <w:p w:rsidR="00C3761F" w:rsidRDefault="00C3761F" w:rsidP="00C3761F"/>
    <w:p w:rsidR="00C2539B" w:rsidRDefault="00C2539B" w:rsidP="00C2539B">
      <w:pPr>
        <w:ind w:right="-1447"/>
      </w:pPr>
    </w:p>
    <w:p w:rsidR="00B70623" w:rsidRPr="0038709D" w:rsidRDefault="00080D6D" w:rsidP="00C2539B">
      <w:pPr>
        <w:pStyle w:val="BodyText"/>
        <w:tabs>
          <w:tab w:val="clear" w:pos="1701"/>
          <w:tab w:val="left" w:pos="0"/>
        </w:tabs>
        <w:ind w:left="0" w:right="-1447"/>
      </w:pPr>
    </w:p>
    <w:sectPr w:rsidR="00B70623" w:rsidRPr="0038709D" w:rsidSect="003C502F">
      <w:headerReference w:type="default" r:id="rId10"/>
      <w:footerReference w:type="default" r:id="rId11"/>
      <w:footerReference w:type="first" r:id="rId12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6D" w:rsidRDefault="00080D6D" w:rsidP="00AC7BC5">
      <w:r>
        <w:separator/>
      </w:r>
    </w:p>
  </w:endnote>
  <w:endnote w:type="continuationSeparator" w:id="0">
    <w:p w:rsidR="00080D6D" w:rsidRDefault="00080D6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FE697E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FE697E">
      <w:rPr>
        <w:noProof/>
      </w:rPr>
      <w:t>4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6D" w:rsidRDefault="00080D6D" w:rsidP="00AC7BC5">
      <w:r>
        <w:separator/>
      </w:r>
    </w:p>
  </w:footnote>
  <w:footnote w:type="continuationSeparator" w:id="0">
    <w:p w:rsidR="00080D6D" w:rsidRDefault="00080D6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7962"/>
    <w:rsid w:val="00080D6D"/>
    <w:rsid w:val="000A4FDF"/>
    <w:rsid w:val="000C7E8C"/>
    <w:rsid w:val="000D1B0D"/>
    <w:rsid w:val="000D6214"/>
    <w:rsid w:val="0014405D"/>
    <w:rsid w:val="00147ADF"/>
    <w:rsid w:val="001504E9"/>
    <w:rsid w:val="0016643B"/>
    <w:rsid w:val="001736E7"/>
    <w:rsid w:val="001974A8"/>
    <w:rsid w:val="001A6FCA"/>
    <w:rsid w:val="001D6732"/>
    <w:rsid w:val="001E34D0"/>
    <w:rsid w:val="0024428B"/>
    <w:rsid w:val="00246C20"/>
    <w:rsid w:val="002756DF"/>
    <w:rsid w:val="002C5E1A"/>
    <w:rsid w:val="002C66E0"/>
    <w:rsid w:val="002F12C6"/>
    <w:rsid w:val="002F1A4D"/>
    <w:rsid w:val="003049A0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87A7F"/>
    <w:rsid w:val="004A475E"/>
    <w:rsid w:val="004C522E"/>
    <w:rsid w:val="004C5C3F"/>
    <w:rsid w:val="004D3B45"/>
    <w:rsid w:val="004E4B8A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EE2"/>
    <w:rsid w:val="009C1836"/>
    <w:rsid w:val="00A351A7"/>
    <w:rsid w:val="00A66B1F"/>
    <w:rsid w:val="00A765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5C11E4" w:rsidRDefault="00367165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5"/>
    <w:rsid w:val="00367165"/>
    <w:rsid w:val="005C11E4"/>
    <w:rsid w:val="00E214F6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DC56F-E5FA-4C91-BDBE-7E09C8A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3</cp:revision>
  <cp:lastPrinted>2017-12-19T06:06:00Z</cp:lastPrinted>
  <dcterms:created xsi:type="dcterms:W3CDTF">2018-02-15T15:03:00Z</dcterms:created>
  <dcterms:modified xsi:type="dcterms:W3CDTF">2018-02-16T09:22:00Z</dcterms:modified>
</cp:coreProperties>
</file>