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B2710F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C2539B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</w:tr>
      <w:tr w:rsidR="003C502F" w:rsidRPr="00B2710F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B2710F" w:rsidP="003C502F">
            <w:pPr>
              <w:rPr>
                <w:b/>
              </w:rPr>
            </w:pPr>
            <w:r>
              <w:rPr>
                <w:b/>
              </w:rPr>
              <w:t>Table</w:t>
            </w:r>
            <w:r w:rsidR="00683022">
              <w:rPr>
                <w:b/>
              </w:rPr>
              <w:t xml:space="preserve">: </w:t>
            </w:r>
            <w:r w:rsidRPr="00B2710F">
              <w:rPr>
                <w:b/>
              </w:rPr>
              <w:t>Examples of Quantitative and Qualitative Methods</w:t>
            </w:r>
          </w:p>
          <w:p w:rsidR="00683022" w:rsidRPr="00347961" w:rsidRDefault="00B2710F" w:rsidP="00683022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table contains some examples of quantitative and qualitative methods used in evaluations.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B2710F" w:rsidP="009A334E">
      <w:pPr>
        <w:pStyle w:val="Heading1"/>
        <w:rPr>
          <w:lang w:val="en-US"/>
        </w:rPr>
      </w:pPr>
      <w:r>
        <w:rPr>
          <w:lang w:val="en-US"/>
        </w:rPr>
        <w:t>Examples of Quantitative and Qualitative Methods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9C0492" w:rsidRPr="009C0492" w:rsidTr="009C0492">
        <w:tc>
          <w:tcPr>
            <w:tcW w:w="2660" w:type="dxa"/>
            <w:shd w:val="clear" w:color="auto" w:fill="61ABFF" w:themeFill="accent1" w:themeFillTint="66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7229" w:type="dxa"/>
            <w:shd w:val="clear" w:color="auto" w:fill="61ABFF" w:themeFill="accent1" w:themeFillTint="66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Sources of data</w:t>
            </w:r>
          </w:p>
        </w:tc>
      </w:tr>
      <w:tr w:rsidR="009C0492" w:rsidRPr="009C0492" w:rsidTr="009C0492">
        <w:tc>
          <w:tcPr>
            <w:tcW w:w="9889" w:type="dxa"/>
            <w:gridSpan w:val="2"/>
            <w:shd w:val="clear" w:color="auto" w:fill="B0D5FF" w:themeFill="accent1" w:themeFillTint="33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Quantitative analyses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Statistical analysis on population, economy, social issues, environment, etc.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2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Official statistics (national, regional, district), statistical data and survey reports by international organisations</w:t>
            </w:r>
          </w:p>
          <w:p w:rsidR="009C0492" w:rsidRPr="009C0492" w:rsidRDefault="009C0492" w:rsidP="009C0492">
            <w:pPr>
              <w:numPr>
                <w:ilvl w:val="0"/>
                <w:numId w:val="12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Data from local NGOs and international organisations particularly in regard of children, women, persons with disability, minorities, indigenous people etc.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Analyses of programme-specific documentation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Monitoring/progress and previous evaluation reports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Structured surveys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Questionnaires on specific issues to specific target groups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Structured observations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Site visits where usage of developed systems is systematically observed using structured formats and or check-lists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Testing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Aptitude, achievement and behavioural tests of the target groups for the developed activity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Physical measurements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Measurement for development impacts (e.g. level of stunting among children, area of land under sustainable management)</w:t>
            </w:r>
          </w:p>
        </w:tc>
      </w:tr>
      <w:tr w:rsidR="009C0492" w:rsidRPr="009C0492" w:rsidTr="009C0492">
        <w:tc>
          <w:tcPr>
            <w:tcW w:w="9889" w:type="dxa"/>
            <w:gridSpan w:val="2"/>
            <w:shd w:val="clear" w:color="auto" w:fill="B0D5FF" w:themeFill="accent1" w:themeFillTint="33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b/>
                <w:sz w:val="24"/>
                <w:szCs w:val="24"/>
                <w:lang w:val="en-GB"/>
              </w:rPr>
              <w:t>Qualitative analysis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Interviews (structured, semi-structured or unstructured), thematic round table discussions and focus group discussions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Samples of various stakeholders (final and immediate beneficiaries, administrative organs, main partners, CSOs, academia, other donors)</w:t>
            </w:r>
          </w:p>
          <w:p w:rsidR="009C0492" w:rsidRPr="009C0492" w:rsidRDefault="009C0492" w:rsidP="009C0492">
            <w:pPr>
              <w:numPr>
                <w:ilvl w:val="0"/>
                <w:numId w:val="13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Social and gender issues need to be taken into account when defining the samples and selecting the participants.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Visits to programme sites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4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Interviews and focus group discussions with programme beneficiaries, target groups and other local stakeholders</w:t>
            </w:r>
          </w:p>
          <w:p w:rsidR="009C0492" w:rsidRPr="009C0492" w:rsidRDefault="009C0492" w:rsidP="009C0492">
            <w:pPr>
              <w:numPr>
                <w:ilvl w:val="0"/>
                <w:numId w:val="14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lastRenderedPageBreak/>
              <w:t>Observation of programme activities and use of developed systems</w:t>
            </w:r>
          </w:p>
          <w:p w:rsidR="009C0492" w:rsidRPr="009C0492" w:rsidRDefault="009C0492" w:rsidP="009C0492">
            <w:pPr>
              <w:numPr>
                <w:ilvl w:val="0"/>
                <w:numId w:val="14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Audio- or video-recording and photography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lastRenderedPageBreak/>
              <w:t xml:space="preserve">Case studies 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Selected cases in the programme to be analysed in-depth</w:t>
            </w:r>
          </w:p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Comparisons/peer reviews with related reference projects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 xml:space="preserve">Stakeholder workshops at national and/or programme site level to discuss the issues 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US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US"/>
              </w:rPr>
              <w:t>Content analysis of available qualitative material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Documents, visual material (photographs, videos), articles, materials produced by the beneficiaries</w:t>
            </w:r>
          </w:p>
        </w:tc>
      </w:tr>
      <w:tr w:rsidR="009C0492" w:rsidRPr="009C0492" w:rsidTr="009C0492">
        <w:tc>
          <w:tcPr>
            <w:tcW w:w="2660" w:type="dxa"/>
          </w:tcPr>
          <w:p w:rsidR="009C0492" w:rsidRPr="009C0492" w:rsidRDefault="009C0492" w:rsidP="009C0492">
            <w:pPr>
              <w:tabs>
                <w:tab w:val="clear" w:pos="1701"/>
              </w:tabs>
              <w:rPr>
                <w:rFonts w:ascii="Calibri" w:eastAsia="MS Mincho" w:hAnsi="Calibri"/>
                <w:sz w:val="24"/>
                <w:szCs w:val="24"/>
                <w:lang w:val="en-US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US"/>
              </w:rPr>
              <w:t>Facilitated self-evaluation</w:t>
            </w:r>
          </w:p>
        </w:tc>
        <w:tc>
          <w:tcPr>
            <w:tcW w:w="7229" w:type="dxa"/>
          </w:tcPr>
          <w:p w:rsidR="009C0492" w:rsidRPr="009C0492" w:rsidRDefault="009C0492" w:rsidP="009C0492">
            <w:pPr>
              <w:numPr>
                <w:ilvl w:val="0"/>
                <w:numId w:val="15"/>
              </w:numPr>
              <w:tabs>
                <w:tab w:val="clear" w:pos="1701"/>
              </w:tabs>
              <w:contextualSpacing/>
              <w:rPr>
                <w:rFonts w:ascii="Calibri" w:eastAsia="MS Mincho" w:hAnsi="Calibri"/>
                <w:sz w:val="24"/>
                <w:szCs w:val="24"/>
                <w:lang w:val="en-GB"/>
              </w:rPr>
            </w:pPr>
            <w:r w:rsidRPr="009C0492">
              <w:rPr>
                <w:rFonts w:ascii="Calibri" w:eastAsia="MS Mincho" w:hAnsi="Calibri"/>
                <w:sz w:val="24"/>
                <w:szCs w:val="24"/>
                <w:lang w:val="en-GB"/>
              </w:rPr>
              <w:t>Self-evaluation workshop with the project team (other stakeholders may also be invited), facilitated by the evaluators</w:t>
            </w:r>
          </w:p>
        </w:tc>
      </w:tr>
    </w:tbl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57" w:rsidRDefault="006F1357" w:rsidP="00AC7BC5">
      <w:r>
        <w:separator/>
      </w:r>
    </w:p>
  </w:endnote>
  <w:endnote w:type="continuationSeparator" w:id="0">
    <w:p w:rsidR="006F1357" w:rsidRDefault="006F135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5E" w:rsidRDefault="00B55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B5585E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B5585E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B5585E" w:rsidP="00B5585E">
    <w:pPr>
      <w:pStyle w:val="Footer"/>
      <w:tabs>
        <w:tab w:val="left" w:pos="4508"/>
      </w:tabs>
    </w:pPr>
    <w:r>
      <w:tab/>
    </w: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57" w:rsidRDefault="006F1357" w:rsidP="00AC7BC5">
      <w:r>
        <w:separator/>
      </w:r>
    </w:p>
  </w:footnote>
  <w:footnote w:type="continuationSeparator" w:id="0">
    <w:p w:rsidR="006F1357" w:rsidRDefault="006F135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5E" w:rsidRDefault="00B55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bookmarkStart w:id="1" w:name="_GoBack"/>
    <w:bookmarkEnd w:id="1"/>
  </w:p>
  <w:p w:rsidR="0076020A" w:rsidRDefault="0076020A" w:rsidP="0076020A">
    <w:pPr>
      <w:pStyle w:val="Header"/>
    </w:pPr>
  </w:p>
  <w:p w:rsidR="0076020A" w:rsidRDefault="0076020A" w:rsidP="00B5585E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5E" w:rsidRDefault="00B55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6F1357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05F5F"/>
    <w:rsid w:val="00956526"/>
    <w:rsid w:val="009569CA"/>
    <w:rsid w:val="00992CD5"/>
    <w:rsid w:val="009A334E"/>
    <w:rsid w:val="009A6EE2"/>
    <w:rsid w:val="009C0492"/>
    <w:rsid w:val="009C1836"/>
    <w:rsid w:val="00A351A7"/>
    <w:rsid w:val="00A66B1F"/>
    <w:rsid w:val="00A765D5"/>
    <w:rsid w:val="00AB3675"/>
    <w:rsid w:val="00AC7BC5"/>
    <w:rsid w:val="00B06142"/>
    <w:rsid w:val="00B176E2"/>
    <w:rsid w:val="00B2710F"/>
    <w:rsid w:val="00B52F04"/>
    <w:rsid w:val="00B5585E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00B99E-C5DC-45AC-B40B-F538D2C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2E0EC4" w:rsidRDefault="00255C12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255C12"/>
    <w:rsid w:val="002E0EC4"/>
    <w:rsid w:val="004E34B2"/>
    <w:rsid w:val="00B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E8DD25-8EC2-4BC8-9D3B-3B681673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</TotalTime>
  <Pages>2</Pages>
  <Words>268</Words>
  <Characters>2179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2021-03-09T05:49:00Z</dcterms:created>
  <dcterms:modified xsi:type="dcterms:W3CDTF">2021-03-09T05:49:00Z</dcterms:modified>
</cp:coreProperties>
</file>