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2CFAFE07" w:rsidR="00300CFC" w:rsidRPr="005034E1" w:rsidRDefault="00300CFC" w:rsidP="00300CFC">
      <w:pPr>
        <w:pStyle w:val="LiiteOtsikko1"/>
      </w:pPr>
      <w:r w:rsidRPr="005034E1">
        <w:t xml:space="preserve">Liite 14. </w:t>
      </w:r>
      <w:r w:rsidR="005762C1" w:rsidRPr="005762C1">
        <w:t>VNOS 3 §:n 9 kohdassa tarkoitettujen EU-sopimusten esittelylistamallit</w:t>
      </w:r>
    </w:p>
    <w:p w14:paraId="30C41D67" w14:textId="7B0FF2C5" w:rsidR="00300CFC" w:rsidRPr="005034E1" w:rsidRDefault="00300CFC" w:rsidP="00300CFC">
      <w:pPr>
        <w:pStyle w:val="LiiteOtsikko2"/>
        <w:tabs>
          <w:tab w:val="left" w:pos="1820"/>
        </w:tabs>
      </w:pPr>
      <w:r w:rsidRPr="005034E1">
        <w:t xml:space="preserve">Listamalli </w:t>
      </w:r>
      <w:r w:rsidR="00422949" w:rsidRPr="005034E1">
        <w:t>2</w:t>
      </w:r>
      <w:r w:rsidR="00202836" w:rsidRPr="005034E1">
        <w:t>2</w:t>
      </w:r>
      <w:r w:rsidRPr="005034E1">
        <w:t xml:space="preserve">. </w:t>
      </w:r>
      <w:r w:rsidR="003B4551" w:rsidRPr="005034E1">
        <w:t>VN</w:t>
      </w:r>
      <w:r w:rsidR="008F5383" w:rsidRPr="005034E1">
        <w:t xml:space="preserve"> Sopimuksen hyväksyminen (VN)</w:t>
      </w:r>
    </w:p>
    <w:tbl>
      <w:tblPr>
        <w:tblW w:w="8789" w:type="dxa"/>
        <w:tblCellSpacing w:w="0" w:type="dxa"/>
        <w:tblCellMar>
          <w:left w:w="75" w:type="dxa"/>
          <w:right w:w="75" w:type="dxa"/>
        </w:tblCellMar>
        <w:tblLook w:val="0000" w:firstRow="0" w:lastRow="0" w:firstColumn="0" w:lastColumn="0" w:noHBand="0" w:noVBand="0"/>
      </w:tblPr>
      <w:tblGrid>
        <w:gridCol w:w="5529"/>
        <w:gridCol w:w="3260"/>
      </w:tblGrid>
      <w:tr w:rsidR="001C0365" w:rsidRPr="005034E1" w14:paraId="70C4B471" w14:textId="77777777" w:rsidTr="008F5383">
        <w:trPr>
          <w:trHeight w:val="816"/>
          <w:tblCellSpacing w:w="0" w:type="dxa"/>
        </w:trPr>
        <w:tc>
          <w:tcPr>
            <w:tcW w:w="5529" w:type="dxa"/>
            <w:tcMar>
              <w:left w:w="0" w:type="dxa"/>
            </w:tcMar>
            <w:vAlign w:val="center"/>
          </w:tcPr>
          <w:p w14:paraId="227C169C" w14:textId="6F464E1D" w:rsidR="001C0365" w:rsidRPr="005034E1" w:rsidRDefault="003B4551" w:rsidP="000A6F67">
            <w:pPr>
              <w:pStyle w:val="LLNormaali"/>
              <w:rPr>
                <w:rStyle w:val="Strong"/>
                <w:lang w:val="fi-FI"/>
              </w:rPr>
            </w:pPr>
            <w:r w:rsidRPr="005034E1">
              <w:rPr>
                <w:rStyle w:val="Strong"/>
                <w:lang w:val="fi-FI"/>
              </w:rPr>
              <w:t>Valtioneuvoston yleisistunto</w:t>
            </w:r>
          </w:p>
        </w:tc>
        <w:tc>
          <w:tcPr>
            <w:tcW w:w="3260" w:type="dxa"/>
            <w:tcBorders>
              <w:top w:val="nil"/>
              <w:bottom w:val="nil"/>
              <w:right w:val="nil"/>
            </w:tcBorders>
          </w:tcPr>
          <w:p w14:paraId="0D7C3332" w14:textId="77777777" w:rsidR="001C0365" w:rsidRPr="005034E1" w:rsidRDefault="001C0365" w:rsidP="001C0365">
            <w:pPr>
              <w:pStyle w:val="LLNormaali"/>
              <w:rPr>
                <w:lang w:val="fi-FI"/>
              </w:rPr>
            </w:pPr>
          </w:p>
        </w:tc>
      </w:tr>
      <w:tr w:rsidR="00202836" w:rsidRPr="005034E1" w14:paraId="60C52B30" w14:textId="77777777" w:rsidTr="008F5383">
        <w:trPr>
          <w:trHeight w:val="816"/>
          <w:tblCellSpacing w:w="0" w:type="dxa"/>
        </w:trPr>
        <w:tc>
          <w:tcPr>
            <w:tcW w:w="5529" w:type="dxa"/>
            <w:tcMar>
              <w:left w:w="0" w:type="dxa"/>
              <w:bottom w:w="74" w:type="dxa"/>
            </w:tcMar>
          </w:tcPr>
          <w:p w14:paraId="454B447E" w14:textId="5E167E01" w:rsidR="00202836" w:rsidRPr="005034E1" w:rsidRDefault="00202836" w:rsidP="005034E1">
            <w:pPr>
              <w:pStyle w:val="LLNormaali"/>
              <w:rPr>
                <w:lang w:val="fi-FI"/>
              </w:rPr>
            </w:pPr>
            <w:r w:rsidRPr="005034E1">
              <w:rPr>
                <w:lang w:val="fi-FI"/>
              </w:rPr>
              <w:t xml:space="preserve">28.6.2006 </w:t>
            </w:r>
          </w:p>
        </w:tc>
        <w:tc>
          <w:tcPr>
            <w:tcW w:w="3260" w:type="dxa"/>
            <w:tcBorders>
              <w:top w:val="nil"/>
              <w:left w:val="single" w:sz="6" w:space="0" w:color="000000"/>
              <w:bottom w:val="nil"/>
              <w:right w:val="nil"/>
            </w:tcBorders>
            <w:tcMar>
              <w:bottom w:w="74" w:type="dxa"/>
            </w:tcMar>
          </w:tcPr>
          <w:p w14:paraId="738F6FE9" w14:textId="3C1E1E12" w:rsidR="00202836" w:rsidRPr="005034E1" w:rsidRDefault="00202836" w:rsidP="005034E1">
            <w:pPr>
              <w:pStyle w:val="LLNormaali"/>
              <w:rPr>
                <w:lang w:val="fi-FI"/>
              </w:rPr>
            </w:pPr>
            <w:r w:rsidRPr="005034E1">
              <w:rPr>
                <w:lang w:val="fi-FI"/>
              </w:rPr>
              <w:t xml:space="preserve">Opas Outi (48) </w:t>
            </w:r>
            <w:r w:rsidRPr="005034E1">
              <w:rPr>
                <w:lang w:val="fi-FI"/>
              </w:rPr>
              <w:br/>
              <w:t>Lainsäädäntöneuvos</w:t>
            </w:r>
            <w:r w:rsidRPr="005034E1">
              <w:rPr>
                <w:lang w:val="fi-FI"/>
              </w:rPr>
              <w:br/>
              <w:t>p. 160 55198</w:t>
            </w:r>
          </w:p>
        </w:tc>
      </w:tr>
      <w:tr w:rsidR="00202836" w:rsidRPr="005034E1" w14:paraId="1F86CA22" w14:textId="77777777" w:rsidTr="008F5383">
        <w:trPr>
          <w:trHeight w:val="208"/>
          <w:tblCellSpacing w:w="0" w:type="dxa"/>
        </w:trPr>
        <w:tc>
          <w:tcPr>
            <w:tcW w:w="5529" w:type="dxa"/>
            <w:tcBorders>
              <w:top w:val="nil"/>
              <w:left w:val="nil"/>
              <w:bottom w:val="single" w:sz="12" w:space="0" w:color="000000"/>
              <w:right w:val="nil"/>
            </w:tcBorders>
            <w:tcMar>
              <w:left w:w="0" w:type="dxa"/>
              <w:bottom w:w="147" w:type="dxa"/>
            </w:tcMar>
          </w:tcPr>
          <w:p w14:paraId="0716BFDC" w14:textId="7B603DE5" w:rsidR="00202836" w:rsidRPr="005034E1" w:rsidRDefault="00202836" w:rsidP="005034E1">
            <w:pPr>
              <w:pStyle w:val="LLNormaali"/>
              <w:rPr>
                <w:lang w:val="fi-FI"/>
              </w:rPr>
            </w:pPr>
            <w:r w:rsidRPr="005034E1">
              <w:rPr>
                <w:lang w:val="fi-FI"/>
              </w:rPr>
              <w:t>Ministeri Luhtanen  </w:t>
            </w:r>
          </w:p>
        </w:tc>
        <w:tc>
          <w:tcPr>
            <w:tcW w:w="3260" w:type="dxa"/>
            <w:tcBorders>
              <w:top w:val="nil"/>
              <w:left w:val="single" w:sz="6" w:space="0" w:color="000000"/>
              <w:bottom w:val="single" w:sz="12" w:space="0" w:color="000000"/>
              <w:right w:val="nil"/>
            </w:tcBorders>
            <w:tcMar>
              <w:bottom w:w="147" w:type="dxa"/>
            </w:tcMar>
          </w:tcPr>
          <w:p w14:paraId="0ECB1239" w14:textId="6DF71CF0" w:rsidR="00202836" w:rsidRPr="005034E1" w:rsidRDefault="00202836" w:rsidP="005034E1">
            <w:pPr>
              <w:pStyle w:val="LLNormaali"/>
              <w:rPr>
                <w:lang w:val="fi-FI"/>
              </w:rPr>
            </w:pPr>
            <w:r w:rsidRPr="005034E1">
              <w:rPr>
                <w:lang w:val="fi-FI"/>
              </w:rPr>
              <w:t>Liikenne- ja viestintäministeriö  </w:t>
            </w:r>
          </w:p>
        </w:tc>
      </w:tr>
      <w:tr w:rsidR="00300CFC" w:rsidRPr="005034E1" w14:paraId="48B101CA" w14:textId="77777777" w:rsidTr="008F5383">
        <w:trPr>
          <w:trHeight w:val="375"/>
          <w:tblCellSpacing w:w="0" w:type="dxa"/>
        </w:trPr>
        <w:tc>
          <w:tcPr>
            <w:tcW w:w="5529" w:type="dxa"/>
            <w:tcMar>
              <w:left w:w="0" w:type="dxa"/>
            </w:tcMar>
          </w:tcPr>
          <w:p w14:paraId="11054163" w14:textId="7D10B423" w:rsidR="00300CFC" w:rsidRPr="005034E1" w:rsidRDefault="00202836" w:rsidP="000A6F67">
            <w:pPr>
              <w:pStyle w:val="LLNormaali"/>
              <w:rPr>
                <w:rStyle w:val="Strong"/>
                <w:lang w:val="fi-FI"/>
              </w:rPr>
            </w:pPr>
            <w:r w:rsidRPr="005034E1">
              <w:rPr>
                <w:rFonts w:cs="Arial"/>
                <w:b/>
                <w:bCs w:val="0"/>
                <w:color w:val="000000"/>
                <w:lang w:val="fi-FI"/>
              </w:rPr>
              <w:t>Sopimuksen hyväksyminen</w:t>
            </w:r>
          </w:p>
        </w:tc>
        <w:tc>
          <w:tcPr>
            <w:tcW w:w="3260" w:type="dxa"/>
            <w:tcBorders>
              <w:top w:val="nil"/>
              <w:left w:val="single" w:sz="6" w:space="0" w:color="000000"/>
              <w:bottom w:val="nil"/>
              <w:right w:val="nil"/>
            </w:tcBorders>
          </w:tcPr>
          <w:p w14:paraId="11AA2DF0" w14:textId="77777777" w:rsidR="00300CFC" w:rsidRPr="005034E1" w:rsidRDefault="00300CFC"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5034E1">
              <w:rPr>
                <w:rFonts w:ascii="Times New Roman" w:eastAsia="Times New Roman" w:hAnsi="Times New Roman"/>
                <w:color w:val="000000"/>
                <w:sz w:val="24"/>
                <w:szCs w:val="24"/>
                <w:lang w:val="fi-FI"/>
              </w:rPr>
              <w:t> </w:t>
            </w:r>
          </w:p>
        </w:tc>
      </w:tr>
      <w:tr w:rsidR="00202836" w:rsidRPr="005762C1" w14:paraId="08602C69" w14:textId="77777777" w:rsidTr="008F5383">
        <w:trPr>
          <w:trHeight w:val="208"/>
          <w:tblCellSpacing w:w="0" w:type="dxa"/>
        </w:trPr>
        <w:tc>
          <w:tcPr>
            <w:tcW w:w="5529" w:type="dxa"/>
            <w:tcMar>
              <w:left w:w="0" w:type="dxa"/>
            </w:tcMar>
          </w:tcPr>
          <w:p w14:paraId="1E6CF351" w14:textId="77777777" w:rsidR="00202836" w:rsidRPr="005034E1" w:rsidRDefault="00202836" w:rsidP="00202836">
            <w:pPr>
              <w:pStyle w:val="LLNormaali"/>
              <w:rPr>
                <w:lang w:val="fi-FI"/>
              </w:rPr>
            </w:pPr>
            <w:r w:rsidRPr="005034E1">
              <w:rPr>
                <w:lang w:val="fi-FI"/>
              </w:rPr>
              <w:t xml:space="preserve">Alusten aiheuttaman meren pilaantumisen ehkäisemisestä vuonna 1973 tehtyyn kansainväliseen yleissopimukseen liittyvän vuoden 1978 pöytäkirjan I liitteeseen liittyvään kunnonarviointijärjestelmään (CAS) tehtyjen muutosten hyväksyminen </w:t>
            </w:r>
          </w:p>
          <w:p w14:paraId="75A1AF12" w14:textId="0CF55738" w:rsidR="00202836" w:rsidRPr="005034E1" w:rsidRDefault="00202836" w:rsidP="00202836">
            <w:pPr>
              <w:pStyle w:val="LLNormaali"/>
              <w:rPr>
                <w:lang w:val="fi-FI"/>
              </w:rPr>
            </w:pPr>
            <w:r w:rsidRPr="005034E1">
              <w:rPr>
                <w:lang w:val="fi-FI"/>
              </w:rPr>
              <w:t>SISÄLTÖ:</w:t>
            </w:r>
            <w:r w:rsidRPr="005034E1">
              <w:rPr>
                <w:lang w:val="fi-FI"/>
              </w:rPr>
              <w:br/>
              <w:t xml:space="preserve">Kansainvälisen merenkulkujärjestön IMO meriympäristön suojelukomitea hyväksyi 22 päivänä heinäkuuta 2005 päätöslauselmalla MEPC.131(53) muutoksia CAS-järjestelmään. Muutokset koskevat CAS-järjestelmän viittauksia </w:t>
            </w:r>
            <w:proofErr w:type="spellStart"/>
            <w:r w:rsidRPr="005034E1">
              <w:rPr>
                <w:lang w:val="fi-FI"/>
              </w:rPr>
              <w:t>Marpol</w:t>
            </w:r>
            <w:proofErr w:type="spellEnd"/>
            <w:r w:rsidRPr="005034E1">
              <w:rPr>
                <w:lang w:val="fi-FI"/>
              </w:rPr>
              <w:t xml:space="preserve"> 73/78</w:t>
            </w:r>
            <w:r w:rsidR="008F5383" w:rsidRPr="005034E1">
              <w:rPr>
                <w:lang w:val="fi-FI"/>
              </w:rPr>
              <w:t xml:space="preserve"> -</w:t>
            </w:r>
            <w:r w:rsidRPr="005034E1">
              <w:rPr>
                <w:lang w:val="fi-FI"/>
              </w:rPr>
              <w:t xml:space="preserve">yleissopimuksen I liitteeseen, joiden numerointi tulee korjata vastaamaan kansainvälisesti 1.1.2007 voimaan tulevaa uusittua I liitettä. Muutos on puhtaasti tekninen. </w:t>
            </w:r>
          </w:p>
          <w:p w14:paraId="4E3D9145" w14:textId="15962D45" w:rsidR="00202836" w:rsidRPr="005034E1" w:rsidRDefault="00202836" w:rsidP="00202836">
            <w:pPr>
              <w:pStyle w:val="LLNormaali"/>
              <w:rPr>
                <w:lang w:val="fi-FI"/>
              </w:rPr>
            </w:pPr>
            <w:r w:rsidRPr="005034E1">
              <w:rPr>
                <w:lang w:val="fi-FI"/>
              </w:rPr>
              <w:t xml:space="preserve">Muutosten hyväksymiseen sovelletaan </w:t>
            </w:r>
            <w:proofErr w:type="spellStart"/>
            <w:r w:rsidRPr="005034E1">
              <w:rPr>
                <w:lang w:val="fi-FI"/>
              </w:rPr>
              <w:t>Marpol</w:t>
            </w:r>
            <w:proofErr w:type="spellEnd"/>
            <w:r w:rsidRPr="005034E1">
              <w:rPr>
                <w:lang w:val="fi-FI"/>
              </w:rPr>
              <w:t xml:space="preserve"> 73/78 -yleissopimuksen 16(2) (f) (iii) artiklaa, jonka mukaan muutokset katsotaan hyväksytyiksi 1.7.2006, jollei vähintään kolmannes MARPOL 73/78 -yleissopimuksen osapuolista taikka sellaiset osapuolet, joiden kauppalaivastot yhteensä edustavat vähintään 50 prosenttia koko maailman kauppalaivaston bruttovetoisuudesta, ole siihen mennessä ilmoittanut IMO:lle vastustavansa muutoksia. Muutosten tultua hyväksytyiksi ne tulevat voimaan 1.1.2007. </w:t>
            </w:r>
          </w:p>
          <w:p w14:paraId="4F1D5A5F" w14:textId="10740702" w:rsidR="00202836" w:rsidRPr="005034E1" w:rsidRDefault="00202836" w:rsidP="00202836">
            <w:pPr>
              <w:pStyle w:val="LLNormaali"/>
              <w:rPr>
                <w:lang w:val="fi-FI"/>
              </w:rPr>
            </w:pPr>
            <w:r w:rsidRPr="005034E1">
              <w:rPr>
                <w:lang w:val="fi-FI"/>
              </w:rPr>
              <w:t xml:space="preserve">Toimivalta IMO:ssa hyväksytyn kunnon arviointijärjestelmän ja sitä koskevien muutosten osalta on siirtynyt Euroopan unionille yksirunkoisiin öljysäiliöaluksiin sovellettavien kaksoisrunkoa tai vastaavaa rakennetta koskevien rakennevaatimusten nopeutetusta käyttöönotosta annetun asetuksen (EY) N:o 417/2002 muuttamisesta 22 päivänä heinäkuuta 2003 annetulla Euroopan parlamentin ja neuvoston asetuksella (EY) N:o 1726/2003 (kaksoisrunkoasetus). Tämän vuoksi muutokset esitetään valtioneuvoston hyväksyttäväksi. </w:t>
            </w:r>
          </w:p>
          <w:p w14:paraId="7B7D1177" w14:textId="2222BABC" w:rsidR="008F5383" w:rsidRPr="005034E1" w:rsidRDefault="00202836" w:rsidP="008F5383">
            <w:pPr>
              <w:pStyle w:val="LLNormaali"/>
              <w:rPr>
                <w:rFonts w:cs="Arial"/>
                <w:color w:val="000000"/>
                <w:lang w:val="fi-FI"/>
              </w:rPr>
            </w:pPr>
            <w:r w:rsidRPr="005034E1">
              <w:rPr>
                <w:lang w:val="fi-FI"/>
              </w:rPr>
              <w:lastRenderedPageBreak/>
              <w:t xml:space="preserve">TOIMIVALTA: </w:t>
            </w:r>
            <w:r w:rsidR="008F5383" w:rsidRPr="005034E1">
              <w:rPr>
                <w:lang w:val="fi-FI"/>
              </w:rPr>
              <w:br/>
            </w:r>
            <w:r w:rsidRPr="005034E1">
              <w:rPr>
                <w:lang w:val="fi-FI"/>
              </w:rPr>
              <w:t xml:space="preserve">Perustuslaki 93 § 2 mom. </w:t>
            </w:r>
            <w:r w:rsidR="008F5383" w:rsidRPr="005034E1">
              <w:rPr>
                <w:lang w:val="fi-FI"/>
              </w:rPr>
              <w:br/>
            </w:r>
            <w:r w:rsidRPr="005034E1">
              <w:rPr>
                <w:lang w:val="fi-FI"/>
              </w:rPr>
              <w:t>VNOS 3 § 9 kohta</w:t>
            </w:r>
          </w:p>
        </w:tc>
        <w:tc>
          <w:tcPr>
            <w:tcW w:w="3260" w:type="dxa"/>
            <w:tcBorders>
              <w:top w:val="nil"/>
              <w:left w:val="single" w:sz="6" w:space="0" w:color="000000"/>
              <w:bottom w:val="nil"/>
              <w:right w:val="nil"/>
            </w:tcBorders>
          </w:tcPr>
          <w:p w14:paraId="25481559" w14:textId="79303772" w:rsidR="00B32EA9" w:rsidRPr="005034E1" w:rsidRDefault="00B32EA9" w:rsidP="00B32EA9">
            <w:pPr>
              <w:pStyle w:val="LLNormaali"/>
              <w:rPr>
                <w:lang w:val="fi-FI"/>
              </w:rPr>
            </w:pPr>
            <w:r w:rsidRPr="005034E1">
              <w:rPr>
                <w:lang w:val="fi-FI"/>
              </w:rPr>
              <w:lastRenderedPageBreak/>
              <w:t xml:space="preserve">Esitys: </w:t>
            </w:r>
          </w:p>
          <w:p w14:paraId="28F98B42" w14:textId="5967ABA1" w:rsidR="00B32EA9" w:rsidRPr="005034E1" w:rsidRDefault="00B32EA9" w:rsidP="00B32EA9">
            <w:pPr>
              <w:pStyle w:val="LLNormaali"/>
              <w:rPr>
                <w:lang w:val="fi-FI"/>
              </w:rPr>
            </w:pPr>
            <w:r w:rsidRPr="005034E1">
              <w:rPr>
                <w:lang w:val="fi-FI"/>
              </w:rPr>
              <w:t>Valtioneuvosto hyväksyy alusten aiheuttaman meren pilaantumisen ehkäisemisestä vuonna 1973 tehtyyn kansainväliseen yleissopimukseen liittyvän vuoden 1978 pöytäkirjan I liitteeseen liittyvään kunnonarviointijärjestelmään (CAS) tehdyt muutokset</w:t>
            </w:r>
          </w:p>
        </w:tc>
      </w:tr>
      <w:tr w:rsidR="00202836" w:rsidRPr="005762C1" w14:paraId="0F10073D" w14:textId="77777777" w:rsidTr="008F5383">
        <w:trPr>
          <w:trHeight w:val="237"/>
          <w:tblCellSpacing w:w="0" w:type="dxa"/>
        </w:trPr>
        <w:tc>
          <w:tcPr>
            <w:tcW w:w="5529" w:type="dxa"/>
            <w:tcMar>
              <w:left w:w="0" w:type="dxa"/>
            </w:tcMar>
          </w:tcPr>
          <w:p w14:paraId="1E6B8E43" w14:textId="1367B82E" w:rsidR="00202836" w:rsidRPr="005034E1" w:rsidRDefault="00202836" w:rsidP="008F5383">
            <w:pPr>
              <w:pStyle w:val="LLNormaali"/>
              <w:spacing w:before="0"/>
              <w:rPr>
                <w:lang w:val="fi-FI"/>
              </w:rPr>
            </w:pPr>
          </w:p>
        </w:tc>
        <w:tc>
          <w:tcPr>
            <w:tcW w:w="3260" w:type="dxa"/>
            <w:vAlign w:val="center"/>
          </w:tcPr>
          <w:p w14:paraId="1F3D55C4" w14:textId="77777777" w:rsidR="00202836" w:rsidRPr="005034E1" w:rsidRDefault="00202836" w:rsidP="00202836">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0D1171FD" w14:textId="7D87B9FE" w:rsidR="005034E1" w:rsidRPr="005034E1" w:rsidRDefault="005762C1" w:rsidP="005034E1">
      <w:pPr>
        <w:pStyle w:val="LLNormaali"/>
        <w:rPr>
          <w:lang w:val="fi-FI"/>
        </w:rPr>
      </w:pPr>
      <w:r>
        <w:rPr>
          <w:lang w:val="fi-FI"/>
        </w:rPr>
        <w:t>LIITE 1</w:t>
      </w:r>
      <w:r w:rsidR="005034E1" w:rsidRPr="005034E1">
        <w:rPr>
          <w:lang w:val="fi-FI"/>
        </w:rPr>
        <w:t xml:space="preserve"> </w:t>
      </w:r>
      <w:r w:rsidR="005034E1" w:rsidRPr="005034E1">
        <w:rPr>
          <w:lang w:val="fi-FI"/>
        </w:rPr>
        <w:tab/>
        <w:t>Muistio</w:t>
      </w:r>
    </w:p>
    <w:p w14:paraId="41607665" w14:textId="5887E9CB" w:rsidR="00B2153E" w:rsidRPr="005034E1" w:rsidRDefault="005762C1" w:rsidP="005034E1">
      <w:pPr>
        <w:pStyle w:val="LLNormaali"/>
        <w:spacing w:before="0"/>
        <w:rPr>
          <w:lang w:val="fi-FI"/>
        </w:rPr>
      </w:pPr>
      <w:r>
        <w:rPr>
          <w:lang w:val="fi-FI"/>
        </w:rPr>
        <w:t>LIITE 2</w:t>
      </w:r>
      <w:r>
        <w:rPr>
          <w:lang w:val="fi-FI"/>
        </w:rPr>
        <w:tab/>
      </w:r>
      <w:bookmarkStart w:id="0" w:name="_GoBack"/>
      <w:bookmarkEnd w:id="0"/>
      <w:r w:rsidR="005034E1" w:rsidRPr="005034E1">
        <w:rPr>
          <w:lang w:val="fi-FI"/>
        </w:rPr>
        <w:t xml:space="preserve"> </w:t>
      </w:r>
      <w:r w:rsidR="005034E1" w:rsidRPr="005034E1">
        <w:rPr>
          <w:lang w:val="fi-FI"/>
        </w:rPr>
        <w:tab/>
        <w:t>Hyväksytyt muutokset</w:t>
      </w:r>
    </w:p>
    <w:sectPr w:rsidR="00B2153E" w:rsidRPr="005034E1" w:rsidSect="008F5383">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F81A8" w14:textId="77777777" w:rsidR="00827036" w:rsidRDefault="00827036" w:rsidP="00300CFC">
      <w:pPr>
        <w:spacing w:after="0" w:line="240" w:lineRule="auto"/>
      </w:pPr>
      <w:r>
        <w:separator/>
      </w:r>
    </w:p>
  </w:endnote>
  <w:endnote w:type="continuationSeparator" w:id="0">
    <w:p w14:paraId="557A99D1" w14:textId="77777777" w:rsidR="00827036" w:rsidRDefault="00827036"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576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5762C1"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5762C1"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54122" w14:textId="77777777" w:rsidR="00827036" w:rsidRDefault="00827036" w:rsidP="00300CFC">
      <w:pPr>
        <w:spacing w:after="0" w:line="240" w:lineRule="auto"/>
      </w:pPr>
      <w:r>
        <w:separator/>
      </w:r>
    </w:p>
  </w:footnote>
  <w:footnote w:type="continuationSeparator" w:id="0">
    <w:p w14:paraId="5B0C2291" w14:textId="77777777" w:rsidR="00827036" w:rsidRDefault="00827036"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0A6F67"/>
    <w:rsid w:val="001C0365"/>
    <w:rsid w:val="00202836"/>
    <w:rsid w:val="00211FEC"/>
    <w:rsid w:val="0022063A"/>
    <w:rsid w:val="00264DC7"/>
    <w:rsid w:val="00297552"/>
    <w:rsid w:val="002A0E0E"/>
    <w:rsid w:val="002A5041"/>
    <w:rsid w:val="002B0177"/>
    <w:rsid w:val="002F4382"/>
    <w:rsid w:val="00300CFC"/>
    <w:rsid w:val="003A729B"/>
    <w:rsid w:val="003B1124"/>
    <w:rsid w:val="003B4551"/>
    <w:rsid w:val="003C32ED"/>
    <w:rsid w:val="003C42E8"/>
    <w:rsid w:val="00422949"/>
    <w:rsid w:val="00444D41"/>
    <w:rsid w:val="00452099"/>
    <w:rsid w:val="005034E1"/>
    <w:rsid w:val="00505973"/>
    <w:rsid w:val="005762C1"/>
    <w:rsid w:val="005930E2"/>
    <w:rsid w:val="00610760"/>
    <w:rsid w:val="006B23B3"/>
    <w:rsid w:val="006B64FD"/>
    <w:rsid w:val="00752AD4"/>
    <w:rsid w:val="00827036"/>
    <w:rsid w:val="00883A8D"/>
    <w:rsid w:val="008F5383"/>
    <w:rsid w:val="0092099C"/>
    <w:rsid w:val="00982A58"/>
    <w:rsid w:val="009909B1"/>
    <w:rsid w:val="009D49EE"/>
    <w:rsid w:val="00A458B8"/>
    <w:rsid w:val="00A75703"/>
    <w:rsid w:val="00B12F5B"/>
    <w:rsid w:val="00B2153E"/>
    <w:rsid w:val="00B32EA9"/>
    <w:rsid w:val="00B45FA9"/>
    <w:rsid w:val="00B70EB6"/>
    <w:rsid w:val="00B71A01"/>
    <w:rsid w:val="00B97831"/>
    <w:rsid w:val="00BB3C81"/>
    <w:rsid w:val="00BE5B34"/>
    <w:rsid w:val="00C22574"/>
    <w:rsid w:val="00CF0E60"/>
    <w:rsid w:val="00D06CE2"/>
    <w:rsid w:val="00F550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9D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EE"/>
    <w:rPr>
      <w:rFonts w:ascii="Tahoma" w:eastAsia="Calibri" w:hAnsi="Tahoma" w:cs="Tahoma"/>
      <w:sz w:val="16"/>
      <w:szCs w:val="16"/>
      <w:lang w:val="en-US"/>
    </w:rPr>
  </w:style>
  <w:style w:type="character" w:styleId="Hyperlink">
    <w:name w:val="Hyperlink"/>
    <w:uiPriority w:val="99"/>
    <w:unhideWhenUsed/>
    <w:rsid w:val="003C32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23</cp:revision>
  <dcterms:created xsi:type="dcterms:W3CDTF">2021-08-24T05:02:00Z</dcterms:created>
  <dcterms:modified xsi:type="dcterms:W3CDTF">2021-10-11T07:28:00Z</dcterms:modified>
</cp:coreProperties>
</file>