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92C4B" w14:textId="3B0CA076" w:rsidR="000312CC" w:rsidRPr="002965AE" w:rsidRDefault="000312CC" w:rsidP="000312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Pakotteiden kiertämisen havaitseminen ja </w:t>
      </w:r>
      <w:r w:rsidR="00DB60A0">
        <w:rPr>
          <w:rFonts w:ascii="Times New Roman" w:hAnsi="Times New Roman"/>
          <w:b/>
        </w:rPr>
        <w:t xml:space="preserve">kiertämisen </w:t>
      </w:r>
      <w:r>
        <w:rPr>
          <w:rFonts w:ascii="Times New Roman" w:hAnsi="Times New Roman"/>
          <w:b/>
        </w:rPr>
        <w:t xml:space="preserve">estäminen </w:t>
      </w:r>
      <w:r w:rsidR="00DB60A0">
        <w:rPr>
          <w:rFonts w:ascii="Times New Roman" w:hAnsi="Times New Roman"/>
          <w:b/>
        </w:rPr>
        <w:t>ulkomaankaupassa</w:t>
      </w:r>
    </w:p>
    <w:p w14:paraId="60551375" w14:textId="6DEB1AA1" w:rsidR="000312CC" w:rsidRPr="002965AE" w:rsidRDefault="00E839A8" w:rsidP="000312C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Käytännön ohje</w:t>
      </w:r>
      <w:r w:rsidR="00AD3A23">
        <w:rPr>
          <w:rFonts w:ascii="Times New Roman" w:hAnsi="Times New Roman"/>
          <w:b/>
        </w:rPr>
        <w:t xml:space="preserve">istusta </w:t>
      </w:r>
      <w:r>
        <w:rPr>
          <w:rFonts w:ascii="Times New Roman" w:hAnsi="Times New Roman"/>
          <w:b/>
        </w:rPr>
        <w:t>talouden toimijoille</w:t>
      </w:r>
    </w:p>
    <w:p w14:paraId="3AD86405" w14:textId="77777777" w:rsidR="00503CCB" w:rsidRPr="00DB60A0" w:rsidRDefault="00503CCB">
      <w:pPr>
        <w:rPr>
          <w:rFonts w:ascii="Times New Roman" w:hAnsi="Times New Roman" w:cs="Times New Roman"/>
        </w:rPr>
      </w:pPr>
    </w:p>
    <w:p w14:paraId="1A81D89A" w14:textId="63766AF5" w:rsidR="00670E07" w:rsidRPr="002965AE" w:rsidRDefault="00670E07" w:rsidP="00CF3CA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EU on määrännyt Venäjälle ennennäkemättömiä rajoittavia toimenpiteitä</w:t>
      </w:r>
      <w:r w:rsidR="00DB60A0">
        <w:rPr>
          <w:rFonts w:ascii="Times New Roman" w:hAnsi="Times New Roman"/>
        </w:rPr>
        <w:t xml:space="preserve"> (pakotteita), jotka koskevat yli </w:t>
      </w:r>
      <w:r>
        <w:rPr>
          <w:rFonts w:ascii="Times New Roman" w:hAnsi="Times New Roman"/>
        </w:rPr>
        <w:t xml:space="preserve">50:tä prosenttia EU:n </w:t>
      </w:r>
      <w:r w:rsidR="004E6C1F">
        <w:rPr>
          <w:rFonts w:ascii="Times New Roman" w:hAnsi="Times New Roman"/>
        </w:rPr>
        <w:t xml:space="preserve">ja </w:t>
      </w:r>
      <w:r>
        <w:rPr>
          <w:rFonts w:ascii="Times New Roman" w:hAnsi="Times New Roman"/>
        </w:rPr>
        <w:t xml:space="preserve">Venäjän </w:t>
      </w:r>
      <w:r w:rsidR="004E6C1F">
        <w:rPr>
          <w:rFonts w:ascii="Times New Roman" w:hAnsi="Times New Roman"/>
        </w:rPr>
        <w:t xml:space="preserve">välisestä </w:t>
      </w:r>
      <w:r>
        <w:rPr>
          <w:rFonts w:ascii="Times New Roman" w:hAnsi="Times New Roman"/>
        </w:rPr>
        <w:t>kaupasta. EU:n kauppapakotteiden vaikuttavuus on</w:t>
      </w:r>
      <w:r w:rsidR="00DB60A0">
        <w:rPr>
          <w:rFonts w:ascii="Times New Roman" w:hAnsi="Times New Roman"/>
        </w:rPr>
        <w:t xml:space="preserve"> pakotteiden kiertämisen vuoksi</w:t>
      </w:r>
      <w:r w:rsidR="004E6C1F">
        <w:rPr>
          <w:rFonts w:ascii="Times New Roman" w:hAnsi="Times New Roman"/>
        </w:rPr>
        <w:t xml:space="preserve"> heikentynyt</w:t>
      </w:r>
      <w:r w:rsidR="00DB60A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Venä</w:t>
      </w:r>
      <w:r w:rsidR="00DB60A0">
        <w:rPr>
          <w:rFonts w:ascii="Times New Roman" w:hAnsi="Times New Roman"/>
        </w:rPr>
        <w:t xml:space="preserve">läiset </w:t>
      </w:r>
      <w:r>
        <w:rPr>
          <w:rFonts w:ascii="Times New Roman" w:hAnsi="Times New Roman"/>
        </w:rPr>
        <w:t xml:space="preserve">ja Venäjään </w:t>
      </w:r>
      <w:r w:rsidR="00DB60A0">
        <w:rPr>
          <w:rFonts w:ascii="Times New Roman" w:hAnsi="Times New Roman"/>
        </w:rPr>
        <w:t xml:space="preserve">sidoksissa olevat </w:t>
      </w:r>
      <w:r>
        <w:rPr>
          <w:rFonts w:ascii="Times New Roman" w:hAnsi="Times New Roman"/>
        </w:rPr>
        <w:t>EU:n ja kolmansien maiden talouden toimijat ovat keksineet lukuisia tapoja EU:n pakotteiden kiertämiseksi. Tämä koskee erityisesti henkilöitä ja yhteisöjä, jotka helpottavat pakotteiden kiertämistä tahallaan ja tietoisesti. On kuitenkin yhtä tärkeää panna merkille, että pakotteiden kiertämis</w:t>
      </w:r>
      <w:r w:rsidR="00DB60A0">
        <w:rPr>
          <w:rFonts w:ascii="Times New Roman" w:hAnsi="Times New Roman"/>
        </w:rPr>
        <w:t>tä voi</w:t>
      </w:r>
      <w:r w:rsidR="004E6C1F">
        <w:rPr>
          <w:rFonts w:ascii="Times New Roman" w:hAnsi="Times New Roman"/>
        </w:rPr>
        <w:t xml:space="preserve"> tapahtua myös siksi, ettei </w:t>
      </w:r>
      <w:r>
        <w:rPr>
          <w:rFonts w:ascii="Times New Roman" w:hAnsi="Times New Roman"/>
        </w:rPr>
        <w:t>yksityisellä ja julkisella sektorilla ole tietoa eikä riittävästi koulutusta</w:t>
      </w:r>
      <w:r w:rsidR="005212F1">
        <w:rPr>
          <w:rFonts w:ascii="Times New Roman" w:hAnsi="Times New Roman"/>
        </w:rPr>
        <w:t xml:space="preserve"> asiassa</w:t>
      </w:r>
      <w:r>
        <w:rPr>
          <w:rFonts w:ascii="Times New Roman" w:hAnsi="Times New Roman"/>
        </w:rPr>
        <w:t xml:space="preserve">.    </w:t>
      </w:r>
    </w:p>
    <w:p w14:paraId="07C7389C" w14:textId="6C34DF9E" w:rsidR="00EA3706" w:rsidRDefault="00CF3CA5" w:rsidP="00CF3C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Pakoteasetukset ovat Euroopan unionin jäsenvaltioissa suoraan sovellettavaa lainsäädäntöä. Pakotteiden kiertäminen kielletään asetuksissa, ja kiertäminen on jäsenvaltioiden lainsäädännön mukaan rangaistavaa rikollista toimintaa. EU:n Venäjää vastaan määräämät </w:t>
      </w:r>
      <w:r w:rsidR="00DB60A0">
        <w:rPr>
          <w:rFonts w:ascii="Times New Roman" w:hAnsi="Times New Roman"/>
        </w:rPr>
        <w:t>sektoripakotteet ja henkilö</w:t>
      </w:r>
      <w:r>
        <w:rPr>
          <w:rFonts w:ascii="Times New Roman" w:hAnsi="Times New Roman"/>
        </w:rPr>
        <w:t>pakotteet</w:t>
      </w:r>
      <w:r w:rsidR="007F6428">
        <w:rPr>
          <w:rStyle w:val="FootnoteReference"/>
          <w:rFonts w:ascii="Times New Roman" w:hAnsi="Times New Roman"/>
        </w:rPr>
        <w:footnoteReference w:id="1"/>
      </w:r>
      <w:r>
        <w:rPr>
          <w:rFonts w:ascii="Times New Roman" w:hAnsi="Times New Roman"/>
        </w:rPr>
        <w:t xml:space="preserve"> tulisi panna täytäntöön rinnakkain. Tämä tarkoittaa esimerkiksi sitä, että jos vientitapahtumaa ei ole kielletty sektoripakotteissa, yrityksen</w:t>
      </w:r>
      <w:r w:rsidR="00DB60A0">
        <w:rPr>
          <w:rFonts w:ascii="Times New Roman" w:hAnsi="Times New Roman"/>
        </w:rPr>
        <w:t xml:space="preserve"> tulisi silti noudattaa henkilö</w:t>
      </w:r>
      <w:r>
        <w:rPr>
          <w:rFonts w:ascii="Times New Roman" w:hAnsi="Times New Roman"/>
        </w:rPr>
        <w:t>pakotte</w:t>
      </w:r>
      <w:r w:rsidR="00DB60A0">
        <w:rPr>
          <w:rFonts w:ascii="Times New Roman" w:hAnsi="Times New Roman"/>
        </w:rPr>
        <w:t>ita</w:t>
      </w:r>
      <w:r>
        <w:rPr>
          <w:rFonts w:ascii="Times New Roman" w:hAnsi="Times New Roman"/>
        </w:rPr>
        <w:t xml:space="preserve"> ja varmistaa, että viedyt tavarat tai teknologiat eivät hyödytä pakotteiden kohteena olevia osapuolia tai niiden omistuksessa tai määräysvallassa olevia yhteisöjä.</w:t>
      </w:r>
      <w:r w:rsidR="00EA3706">
        <w:rPr>
          <w:rFonts w:ascii="Times New Roman" w:hAnsi="Times New Roman"/>
        </w:rPr>
        <w:t xml:space="preserve"> </w:t>
      </w:r>
      <w:r w:rsidR="00DB60A0" w:rsidRPr="00DB60A0">
        <w:rPr>
          <w:rFonts w:ascii="Times New Roman" w:hAnsi="Times New Roman"/>
        </w:rPr>
        <w:t xml:space="preserve">Sovellettavissa EU:n asetuksissa </w:t>
      </w:r>
      <w:r w:rsidR="00EA3706">
        <w:rPr>
          <w:rFonts w:ascii="Times New Roman" w:hAnsi="Times New Roman"/>
        </w:rPr>
        <w:t xml:space="preserve">säädetään </w:t>
      </w:r>
      <w:r w:rsidR="00DB60A0" w:rsidRPr="00DB60A0">
        <w:rPr>
          <w:rFonts w:ascii="Times New Roman" w:hAnsi="Times New Roman"/>
        </w:rPr>
        <w:t>EU:n toimijoi</w:t>
      </w:r>
      <w:r w:rsidR="00EA3706">
        <w:rPr>
          <w:rFonts w:ascii="Times New Roman" w:hAnsi="Times New Roman"/>
        </w:rPr>
        <w:t>lle</w:t>
      </w:r>
      <w:r w:rsidR="00DB60A0">
        <w:rPr>
          <w:rFonts w:ascii="Times New Roman" w:hAnsi="Times New Roman"/>
        </w:rPr>
        <w:t xml:space="preserve"> </w:t>
      </w:r>
      <w:r w:rsidR="00DB60A0" w:rsidRPr="00DB60A0">
        <w:rPr>
          <w:rFonts w:ascii="Times New Roman" w:hAnsi="Times New Roman"/>
        </w:rPr>
        <w:t>(ja EU:ssa liiketoimintaa h</w:t>
      </w:r>
      <w:r w:rsidR="00DB60A0">
        <w:rPr>
          <w:rFonts w:ascii="Times New Roman" w:hAnsi="Times New Roman"/>
        </w:rPr>
        <w:t>arjoittaville toimijoi</w:t>
      </w:r>
      <w:r w:rsidR="00EA3706">
        <w:rPr>
          <w:rFonts w:ascii="Times New Roman" w:hAnsi="Times New Roman"/>
        </w:rPr>
        <w:t>lle</w:t>
      </w:r>
      <w:r w:rsidR="00DB60A0">
        <w:rPr>
          <w:rFonts w:ascii="Times New Roman" w:hAnsi="Times New Roman"/>
        </w:rPr>
        <w:t xml:space="preserve">) </w:t>
      </w:r>
      <w:r w:rsidR="00EA3706">
        <w:rPr>
          <w:rFonts w:ascii="Times New Roman" w:hAnsi="Times New Roman"/>
        </w:rPr>
        <w:t xml:space="preserve">velvoite jäädyttää pakotteiden kohteena olevien tahojen varat ja kielto </w:t>
      </w:r>
      <w:r w:rsidR="00DB60A0" w:rsidRPr="00DB60A0">
        <w:rPr>
          <w:rFonts w:ascii="Times New Roman" w:hAnsi="Times New Roman"/>
        </w:rPr>
        <w:t xml:space="preserve">asettaa varoja ja taloudellisia resursseja suoraan tai välillisesti </w:t>
      </w:r>
      <w:r w:rsidR="00EA3706">
        <w:rPr>
          <w:rFonts w:ascii="Times New Roman" w:hAnsi="Times New Roman"/>
        </w:rPr>
        <w:t xml:space="preserve">heidän </w:t>
      </w:r>
      <w:r w:rsidR="00DB60A0" w:rsidRPr="00DB60A0">
        <w:rPr>
          <w:rFonts w:ascii="Times New Roman" w:hAnsi="Times New Roman"/>
        </w:rPr>
        <w:t>saataville</w:t>
      </w:r>
      <w:r w:rsidR="00EA3706">
        <w:rPr>
          <w:rFonts w:ascii="Times New Roman" w:hAnsi="Times New Roman"/>
        </w:rPr>
        <w:t>en</w:t>
      </w:r>
      <w:r w:rsidR="00DB60A0" w:rsidRPr="00DB60A0">
        <w:rPr>
          <w:rFonts w:ascii="Times New Roman" w:hAnsi="Times New Roman"/>
        </w:rPr>
        <w:t>.</w:t>
      </w:r>
      <w:r w:rsidR="00DB60A0">
        <w:rPr>
          <w:rFonts w:ascii="Times New Roman" w:hAnsi="Times New Roman"/>
        </w:rPr>
        <w:t xml:space="preserve"> </w:t>
      </w:r>
    </w:p>
    <w:p w14:paraId="07A1D5AA" w14:textId="344BC4DD" w:rsidR="004E6C1F" w:rsidRDefault="00CF3CA5" w:rsidP="00CF3C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Kaikkien talouden toimijoiden </w:t>
      </w:r>
      <w:r w:rsidR="000E5748" w:rsidRPr="000E5748">
        <w:rPr>
          <w:rFonts w:ascii="Times New Roman" w:hAnsi="Times New Roman"/>
        </w:rPr>
        <w:t>t</w:t>
      </w:r>
      <w:r w:rsidR="0067258A">
        <w:rPr>
          <w:rFonts w:ascii="Times New Roman" w:hAnsi="Times New Roman"/>
        </w:rPr>
        <w:t xml:space="preserve">ulisi </w:t>
      </w:r>
      <w:r w:rsidR="000E5748">
        <w:rPr>
          <w:rFonts w:ascii="Times New Roman" w:hAnsi="Times New Roman"/>
        </w:rPr>
        <w:t>luoda</w:t>
      </w:r>
      <w:r w:rsidR="004E6C1F">
        <w:rPr>
          <w:rFonts w:ascii="Times New Roman" w:hAnsi="Times New Roman"/>
        </w:rPr>
        <w:t xml:space="preserve"> sisäinen ohjeistus EU-pakotteiden noudattamiseen </w:t>
      </w:r>
      <w:r w:rsidR="007F6428">
        <w:rPr>
          <w:rFonts w:ascii="Times New Roman" w:hAnsi="Times New Roman"/>
        </w:rPr>
        <w:t>(</w:t>
      </w:r>
      <w:proofErr w:type="spellStart"/>
      <w:r w:rsidR="007F6428">
        <w:rPr>
          <w:rFonts w:ascii="Times New Roman" w:hAnsi="Times New Roman"/>
        </w:rPr>
        <w:t>due</w:t>
      </w:r>
      <w:proofErr w:type="spellEnd"/>
      <w:r w:rsidR="007F6428">
        <w:rPr>
          <w:rFonts w:ascii="Times New Roman" w:hAnsi="Times New Roman"/>
        </w:rPr>
        <w:t xml:space="preserve"> </w:t>
      </w:r>
      <w:proofErr w:type="spellStart"/>
      <w:r w:rsidR="007F6428">
        <w:rPr>
          <w:rFonts w:ascii="Times New Roman" w:hAnsi="Times New Roman"/>
        </w:rPr>
        <w:t>diligence</w:t>
      </w:r>
      <w:proofErr w:type="spellEnd"/>
      <w:r w:rsidR="007F6428">
        <w:rPr>
          <w:rFonts w:ascii="Times New Roman" w:hAnsi="Times New Roman"/>
        </w:rPr>
        <w:t xml:space="preserve">) </w:t>
      </w:r>
      <w:r w:rsidR="004E6C1F">
        <w:rPr>
          <w:rFonts w:ascii="Times New Roman" w:hAnsi="Times New Roman"/>
        </w:rPr>
        <w:t xml:space="preserve">sekä toteuttaa ja </w:t>
      </w:r>
      <w:r w:rsidR="007F6428">
        <w:rPr>
          <w:rFonts w:ascii="Times New Roman" w:hAnsi="Times New Roman"/>
        </w:rPr>
        <w:t xml:space="preserve">päivittää </w:t>
      </w:r>
      <w:r w:rsidR="004E6C1F">
        <w:rPr>
          <w:rFonts w:ascii="Times New Roman" w:hAnsi="Times New Roman"/>
        </w:rPr>
        <w:t>säännöllisesti kyseistä ohjeistusta. Ohjeistuksessa tulisi ottaa huomioon yrityksen l</w:t>
      </w:r>
      <w:r w:rsidR="000E5748" w:rsidRPr="000E5748">
        <w:rPr>
          <w:rFonts w:ascii="Times New Roman" w:hAnsi="Times New Roman"/>
        </w:rPr>
        <w:t>iiketoimintamall</w:t>
      </w:r>
      <w:r w:rsidR="004E6C1F">
        <w:rPr>
          <w:rFonts w:ascii="Times New Roman" w:hAnsi="Times New Roman"/>
        </w:rPr>
        <w:t>i, liike</w:t>
      </w:r>
      <w:r w:rsidR="000E5748" w:rsidRPr="000E5748">
        <w:rPr>
          <w:rFonts w:ascii="Times New Roman" w:hAnsi="Times New Roman"/>
        </w:rPr>
        <w:t>toiminnan maantieteellis</w:t>
      </w:r>
      <w:r w:rsidR="004E6C1F">
        <w:rPr>
          <w:rFonts w:ascii="Times New Roman" w:hAnsi="Times New Roman"/>
        </w:rPr>
        <w:t xml:space="preserve">et alueet ja erityispiirteet sekä </w:t>
      </w:r>
      <w:r w:rsidR="000E5748" w:rsidRPr="000E5748">
        <w:rPr>
          <w:rFonts w:ascii="Times New Roman" w:hAnsi="Times New Roman"/>
        </w:rPr>
        <w:t xml:space="preserve">niihin liittyvä asiakkaiden ja henkilöstön riskinarviointi. </w:t>
      </w:r>
      <w:r w:rsidR="004E6C1F">
        <w:rPr>
          <w:rFonts w:ascii="Times New Roman" w:hAnsi="Times New Roman"/>
        </w:rPr>
        <w:t xml:space="preserve">Yrityksen perusteltujen </w:t>
      </w:r>
      <w:r>
        <w:rPr>
          <w:rFonts w:ascii="Times New Roman" w:hAnsi="Times New Roman"/>
        </w:rPr>
        <w:t>liiketoimintapäätö</w:t>
      </w:r>
      <w:r w:rsidR="004E6C1F">
        <w:rPr>
          <w:rFonts w:ascii="Times New Roman" w:hAnsi="Times New Roman"/>
        </w:rPr>
        <w:t xml:space="preserve">sten tulisi pohjautua </w:t>
      </w:r>
      <w:r>
        <w:rPr>
          <w:rFonts w:ascii="Times New Roman" w:hAnsi="Times New Roman"/>
        </w:rPr>
        <w:t>pakoteriske</w:t>
      </w:r>
      <w:r w:rsidR="004E6C1F">
        <w:rPr>
          <w:rFonts w:ascii="Times New Roman" w:hAnsi="Times New Roman"/>
        </w:rPr>
        <w:t xml:space="preserve">istä parhaiten </w:t>
      </w:r>
      <w:r>
        <w:rPr>
          <w:rFonts w:ascii="Times New Roman" w:hAnsi="Times New Roman"/>
        </w:rPr>
        <w:t>saatavilla olevi</w:t>
      </w:r>
      <w:r w:rsidR="007F6428">
        <w:rPr>
          <w:rFonts w:ascii="Times New Roman" w:hAnsi="Times New Roman"/>
        </w:rPr>
        <w:t xml:space="preserve">in tietoihin </w:t>
      </w:r>
      <w:r w:rsidR="004E6C1F">
        <w:rPr>
          <w:rFonts w:ascii="Times New Roman" w:hAnsi="Times New Roman"/>
        </w:rPr>
        <w:t>ja r</w:t>
      </w:r>
      <w:r>
        <w:rPr>
          <w:rFonts w:ascii="Times New Roman" w:hAnsi="Times New Roman"/>
        </w:rPr>
        <w:t>iittävi</w:t>
      </w:r>
      <w:r w:rsidR="004E6C1F">
        <w:rPr>
          <w:rFonts w:ascii="Times New Roman" w:hAnsi="Times New Roman"/>
        </w:rPr>
        <w:t xml:space="preserve">in </w:t>
      </w:r>
      <w:r>
        <w:rPr>
          <w:rFonts w:ascii="Times New Roman" w:hAnsi="Times New Roman"/>
        </w:rPr>
        <w:t>asianmukaisen huolellisuuden menettelyi</w:t>
      </w:r>
      <w:r w:rsidR="004E6C1F">
        <w:rPr>
          <w:rFonts w:ascii="Times New Roman" w:hAnsi="Times New Roman"/>
        </w:rPr>
        <w:t xml:space="preserve">hin koskien </w:t>
      </w:r>
      <w:r>
        <w:rPr>
          <w:rFonts w:ascii="Times New Roman" w:hAnsi="Times New Roman"/>
        </w:rPr>
        <w:t>muun muassa asiakkaan tuntemismenettelyä</w:t>
      </w:r>
      <w:r w:rsidR="007F6428">
        <w:rPr>
          <w:rFonts w:ascii="Times New Roman" w:hAnsi="Times New Roman"/>
        </w:rPr>
        <w:t xml:space="preserve"> (</w:t>
      </w:r>
      <w:proofErr w:type="spellStart"/>
      <w:r w:rsidR="00297032">
        <w:rPr>
          <w:rFonts w:ascii="Times New Roman" w:hAnsi="Times New Roman"/>
        </w:rPr>
        <w:t>Know</w:t>
      </w:r>
      <w:proofErr w:type="spellEnd"/>
      <w:r w:rsidR="00297032">
        <w:rPr>
          <w:rFonts w:ascii="Times New Roman" w:hAnsi="Times New Roman"/>
        </w:rPr>
        <w:t xml:space="preserve"> </w:t>
      </w:r>
      <w:proofErr w:type="spellStart"/>
      <w:r w:rsidR="00297032">
        <w:rPr>
          <w:rFonts w:ascii="Times New Roman" w:hAnsi="Times New Roman"/>
        </w:rPr>
        <w:t>Your</w:t>
      </w:r>
      <w:proofErr w:type="spellEnd"/>
      <w:r w:rsidR="00297032">
        <w:rPr>
          <w:rFonts w:ascii="Times New Roman" w:hAnsi="Times New Roman"/>
        </w:rPr>
        <w:t xml:space="preserve"> </w:t>
      </w:r>
      <w:proofErr w:type="spellStart"/>
      <w:r w:rsidR="00297032">
        <w:rPr>
          <w:rFonts w:ascii="Times New Roman" w:hAnsi="Times New Roman"/>
        </w:rPr>
        <w:t>Customer</w:t>
      </w:r>
      <w:proofErr w:type="spellEnd"/>
      <w:r w:rsidR="00297032">
        <w:rPr>
          <w:rFonts w:ascii="Times New Roman" w:hAnsi="Times New Roman"/>
        </w:rPr>
        <w:t xml:space="preserve">, </w:t>
      </w:r>
      <w:r w:rsidR="007F6428">
        <w:rPr>
          <w:rFonts w:ascii="Times New Roman" w:hAnsi="Times New Roman"/>
        </w:rPr>
        <w:t>KYC)</w:t>
      </w:r>
      <w:r>
        <w:rPr>
          <w:rFonts w:ascii="Times New Roman" w:hAnsi="Times New Roman"/>
        </w:rPr>
        <w:t xml:space="preserve">. </w:t>
      </w:r>
      <w:r w:rsidR="007F6428">
        <w:rPr>
          <w:rFonts w:ascii="Times New Roman" w:hAnsi="Times New Roman"/>
        </w:rPr>
        <w:t xml:space="preserve">Yrityksen tulisi </w:t>
      </w:r>
      <w:r>
        <w:rPr>
          <w:rFonts w:ascii="Times New Roman" w:hAnsi="Times New Roman"/>
        </w:rPr>
        <w:t>dokumentoi</w:t>
      </w:r>
      <w:r w:rsidR="007F6428">
        <w:rPr>
          <w:rFonts w:ascii="Times New Roman" w:hAnsi="Times New Roman"/>
        </w:rPr>
        <w:t>da menettelyt</w:t>
      </w:r>
      <w:r>
        <w:rPr>
          <w:rFonts w:ascii="Times New Roman" w:hAnsi="Times New Roman"/>
        </w:rPr>
        <w:t xml:space="preserve">. </w:t>
      </w:r>
    </w:p>
    <w:p w14:paraId="1F5AF282" w14:textId="6BECDEB3" w:rsidR="00503CCB" w:rsidRDefault="00503CCB" w:rsidP="00CF3C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Pakotteiden kiertämisen havaitsemiseen ja </w:t>
      </w:r>
      <w:r w:rsidR="007F6428">
        <w:rPr>
          <w:rFonts w:ascii="Times New Roman" w:hAnsi="Times New Roman"/>
        </w:rPr>
        <w:t xml:space="preserve">kiertämisen </w:t>
      </w:r>
      <w:r>
        <w:rPr>
          <w:rFonts w:ascii="Times New Roman" w:hAnsi="Times New Roman"/>
        </w:rPr>
        <w:t>estämiseen on kaivattu käytännön ohjei</w:t>
      </w:r>
      <w:r w:rsidR="00AD3A23">
        <w:rPr>
          <w:rFonts w:ascii="Times New Roman" w:hAnsi="Times New Roman"/>
        </w:rPr>
        <w:t>stusta</w:t>
      </w:r>
      <w:r>
        <w:rPr>
          <w:rFonts w:ascii="Times New Roman" w:hAnsi="Times New Roman"/>
        </w:rPr>
        <w:t xml:space="preserve">. Tämä </w:t>
      </w:r>
      <w:r w:rsidR="00986D63">
        <w:rPr>
          <w:rFonts w:ascii="Times New Roman" w:hAnsi="Times New Roman"/>
        </w:rPr>
        <w:t>asiakirja on laadittu tähän tarpeeseen</w:t>
      </w:r>
      <w:r>
        <w:rPr>
          <w:rFonts w:ascii="Times New Roman" w:hAnsi="Times New Roman"/>
        </w:rPr>
        <w:t xml:space="preserve">. </w:t>
      </w:r>
      <w:r w:rsidR="00DF2F63">
        <w:rPr>
          <w:rFonts w:ascii="Times New Roman" w:hAnsi="Times New Roman"/>
        </w:rPr>
        <w:t xml:space="preserve">Ohjeistuksella pyritään tukemaan yrityksiä vastuullisessa liiketoiminnassa. </w:t>
      </w:r>
      <w:r>
        <w:rPr>
          <w:rFonts w:ascii="Times New Roman" w:hAnsi="Times New Roman"/>
        </w:rPr>
        <w:t xml:space="preserve">Asiakirjassa esitetään asianmukaista huolellisuutta koskevia suosituksia ja </w:t>
      </w:r>
      <w:r w:rsidR="007F6428">
        <w:rPr>
          <w:rFonts w:ascii="Times New Roman" w:hAnsi="Times New Roman"/>
        </w:rPr>
        <w:t xml:space="preserve">eurooppalaisten viranomaisten yhteistyössä identifioituja </w:t>
      </w:r>
      <w:r>
        <w:rPr>
          <w:rFonts w:ascii="Times New Roman" w:hAnsi="Times New Roman"/>
        </w:rPr>
        <w:t>varoitusmerkkejä, joiden avulla voidaan havaita mahd</w:t>
      </w:r>
      <w:r w:rsidR="007F6428">
        <w:rPr>
          <w:rFonts w:ascii="Times New Roman" w:hAnsi="Times New Roman"/>
        </w:rPr>
        <w:t xml:space="preserve">ollinen pakotteiden kiertäminen. </w:t>
      </w:r>
      <w:r>
        <w:rPr>
          <w:rFonts w:ascii="Times New Roman" w:hAnsi="Times New Roman"/>
        </w:rPr>
        <w:t>Asiakirjassa ehdotetaan käytännön keinoja pakotteiden kiertämisen tutki</w:t>
      </w:r>
      <w:r w:rsidR="00986D63">
        <w:rPr>
          <w:rFonts w:ascii="Times New Roman" w:hAnsi="Times New Roman"/>
        </w:rPr>
        <w:t>miseen ja havaitsemiseen. Ti</w:t>
      </w:r>
      <w:r>
        <w:rPr>
          <w:rFonts w:ascii="Times New Roman" w:hAnsi="Times New Roman"/>
        </w:rPr>
        <w:t>edot mahdollisesta tai havaitusta pakotteiden kiertämisestä tulisi ilmoittaa EU:n jäsenvaltioiden kansallisille toimivaltai</w:t>
      </w:r>
      <w:r w:rsidR="00DF2F63">
        <w:rPr>
          <w:rFonts w:ascii="Times New Roman" w:hAnsi="Times New Roman"/>
        </w:rPr>
        <w:t>sille viranomaisille. Ohjeistusta</w:t>
      </w:r>
      <w:r>
        <w:rPr>
          <w:rFonts w:ascii="Times New Roman" w:hAnsi="Times New Roman"/>
        </w:rPr>
        <w:t xml:space="preserve"> päivitetään tarpeen mukaan</w:t>
      </w:r>
      <w:r w:rsidR="007F642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</w:t>
      </w:r>
    </w:p>
    <w:p w14:paraId="19A15CC4" w14:textId="05AB6E7A" w:rsidR="00986D63" w:rsidRDefault="0017467D" w:rsidP="00CF3CA5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Tämä o</w:t>
      </w:r>
      <w:r w:rsidR="00986D63">
        <w:rPr>
          <w:rFonts w:ascii="Times New Roman" w:hAnsi="Times New Roman"/>
        </w:rPr>
        <w:t>hjei</w:t>
      </w:r>
      <w:r w:rsidR="00AD3A23">
        <w:rPr>
          <w:rFonts w:ascii="Times New Roman" w:hAnsi="Times New Roman"/>
        </w:rPr>
        <w:t>stu</w:t>
      </w:r>
      <w:r>
        <w:rPr>
          <w:rFonts w:ascii="Times New Roman" w:hAnsi="Times New Roman"/>
        </w:rPr>
        <w:t>s ei ole luonteeltaan velvoittava asiakirja. Kyseessä on asiantuntijatasolla laadittu muistio</w:t>
      </w:r>
      <w:r w:rsidR="000E3FE7">
        <w:rPr>
          <w:rFonts w:ascii="Times New Roman" w:hAnsi="Times New Roman"/>
        </w:rPr>
        <w:t>, jonka valmistelussa on hyödynnetty eri EU-viranomaisten ohjeita ja viranomaisten tekemiä havaintoja pakotteiden kiertämisestä</w:t>
      </w:r>
      <w:r>
        <w:rPr>
          <w:rFonts w:ascii="Times New Roman" w:hAnsi="Times New Roman"/>
        </w:rPr>
        <w:t xml:space="preserve">. </w:t>
      </w:r>
      <w:r w:rsidR="00986D63">
        <w:rPr>
          <w:rFonts w:ascii="Times New Roman" w:hAnsi="Times New Roman"/>
        </w:rPr>
        <w:t xml:space="preserve"> </w:t>
      </w:r>
    </w:p>
    <w:p w14:paraId="7EC251F9" w14:textId="77777777" w:rsidR="00986D63" w:rsidRDefault="00986D63" w:rsidP="00CF3CA5">
      <w:pPr>
        <w:jc w:val="both"/>
        <w:rPr>
          <w:rFonts w:ascii="Times New Roman" w:hAnsi="Times New Roman"/>
        </w:rPr>
      </w:pPr>
    </w:p>
    <w:p w14:paraId="5B2BB72E" w14:textId="371F38CD" w:rsidR="007F6428" w:rsidRDefault="007F6428" w:rsidP="00CF3CA5">
      <w:pPr>
        <w:jc w:val="both"/>
        <w:rPr>
          <w:rFonts w:ascii="Times New Roman" w:hAnsi="Times New Roman"/>
        </w:rPr>
      </w:pPr>
    </w:p>
    <w:p w14:paraId="584E51FA" w14:textId="502322B1" w:rsidR="007F6428" w:rsidRPr="007F6428" w:rsidRDefault="007F6428" w:rsidP="007F642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Tämä asiakirja</w:t>
      </w:r>
      <w:r w:rsidRPr="007F6428">
        <w:rPr>
          <w:rFonts w:ascii="Times New Roman" w:hAnsi="Times New Roman"/>
        </w:rPr>
        <w:t xml:space="preserve"> koostuu seuraavista osista:</w:t>
      </w:r>
    </w:p>
    <w:p w14:paraId="4FABC1DB" w14:textId="4D1512C1" w:rsidR="007F6428" w:rsidRPr="00297032" w:rsidRDefault="007F6428" w:rsidP="00297032">
      <w:pPr>
        <w:pStyle w:val="ListParagraph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 w:rsidRPr="00297032">
        <w:rPr>
          <w:rFonts w:ascii="Times New Roman" w:hAnsi="Times New Roman"/>
        </w:rPr>
        <w:t>Mikä on riski</w:t>
      </w:r>
      <w:r w:rsidR="00297032">
        <w:rPr>
          <w:rFonts w:ascii="Times New Roman" w:hAnsi="Times New Roman"/>
        </w:rPr>
        <w:t>n</w:t>
      </w:r>
      <w:r w:rsidRPr="00297032">
        <w:rPr>
          <w:rFonts w:ascii="Times New Roman" w:hAnsi="Times New Roman"/>
        </w:rPr>
        <w:t>arvio</w:t>
      </w:r>
      <w:r w:rsidR="00297032">
        <w:rPr>
          <w:rFonts w:ascii="Times New Roman" w:hAnsi="Times New Roman"/>
        </w:rPr>
        <w:t>inti</w:t>
      </w:r>
      <w:r w:rsidRPr="00297032">
        <w:rPr>
          <w:rFonts w:ascii="Times New Roman" w:hAnsi="Times New Roman"/>
        </w:rPr>
        <w:t xml:space="preserve"> ja mitä siinä tulisi huomioida?</w:t>
      </w:r>
    </w:p>
    <w:p w14:paraId="0B38C6D4" w14:textId="60B50CFE" w:rsidR="007F6428" w:rsidRPr="00297032" w:rsidRDefault="007F6428" w:rsidP="00297032">
      <w:pPr>
        <w:pStyle w:val="ListParagraph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 w:rsidRPr="00297032">
        <w:rPr>
          <w:rFonts w:ascii="Times New Roman" w:hAnsi="Times New Roman"/>
        </w:rPr>
        <w:t xml:space="preserve">Yrityksen </w:t>
      </w:r>
      <w:r w:rsidR="00297032">
        <w:rPr>
          <w:rFonts w:ascii="Times New Roman" w:hAnsi="Times New Roman"/>
        </w:rPr>
        <w:t>asiakkaan tunnistamis</w:t>
      </w:r>
      <w:r w:rsidR="00297032" w:rsidRPr="00297032">
        <w:rPr>
          <w:rFonts w:ascii="Times New Roman" w:hAnsi="Times New Roman"/>
        </w:rPr>
        <w:t xml:space="preserve">menettelyssä </w:t>
      </w:r>
      <w:r w:rsidR="00297032">
        <w:rPr>
          <w:rFonts w:ascii="Times New Roman" w:hAnsi="Times New Roman"/>
        </w:rPr>
        <w:t xml:space="preserve">(KYC) </w:t>
      </w:r>
      <w:r w:rsidR="00297032" w:rsidRPr="00297032">
        <w:rPr>
          <w:rFonts w:ascii="Times New Roman" w:hAnsi="Times New Roman"/>
        </w:rPr>
        <w:t>huomioitavat</w:t>
      </w:r>
      <w:r w:rsidRPr="00297032">
        <w:rPr>
          <w:rFonts w:ascii="Times New Roman" w:hAnsi="Times New Roman"/>
        </w:rPr>
        <w:t xml:space="preserve"> </w:t>
      </w:r>
      <w:r w:rsidR="00297032" w:rsidRPr="00297032">
        <w:rPr>
          <w:rFonts w:ascii="Times New Roman" w:hAnsi="Times New Roman"/>
        </w:rPr>
        <w:t>asiat</w:t>
      </w:r>
    </w:p>
    <w:p w14:paraId="1C306572" w14:textId="5D40F589" w:rsidR="007F6428" w:rsidRPr="00297032" w:rsidRDefault="00297032" w:rsidP="00297032">
      <w:pPr>
        <w:pStyle w:val="ListParagraph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 w:rsidRPr="00297032">
        <w:rPr>
          <w:rFonts w:ascii="Times New Roman" w:hAnsi="Times New Roman"/>
        </w:rPr>
        <w:t xml:space="preserve">Varoitusmerkit koskien </w:t>
      </w:r>
      <w:r w:rsidR="007F6428" w:rsidRPr="00297032">
        <w:rPr>
          <w:rFonts w:ascii="Times New Roman" w:hAnsi="Times New Roman"/>
        </w:rPr>
        <w:t>Venäjällä tai kolmansissa maissa harjoitettavaa</w:t>
      </w:r>
      <w:r w:rsidRPr="00297032">
        <w:rPr>
          <w:rFonts w:ascii="Times New Roman" w:hAnsi="Times New Roman"/>
        </w:rPr>
        <w:t xml:space="preserve"> liiketoimintaa</w:t>
      </w:r>
    </w:p>
    <w:p w14:paraId="07B08342" w14:textId="6EF14BDE" w:rsidR="007F6428" w:rsidRPr="00297032" w:rsidRDefault="007F6428" w:rsidP="00297032">
      <w:pPr>
        <w:pStyle w:val="ListParagraph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 w:rsidRPr="00297032">
        <w:rPr>
          <w:rFonts w:ascii="Times New Roman" w:hAnsi="Times New Roman"/>
        </w:rPr>
        <w:t xml:space="preserve">Käytännön ohjeet eurooppalaisille yrityksille </w:t>
      </w:r>
      <w:r w:rsidR="00297032">
        <w:rPr>
          <w:rFonts w:ascii="Times New Roman" w:hAnsi="Times New Roman"/>
        </w:rPr>
        <w:t xml:space="preserve">riittävästä huolellisuudesta </w:t>
      </w:r>
      <w:r w:rsidRPr="00297032">
        <w:rPr>
          <w:rFonts w:ascii="Times New Roman" w:hAnsi="Times New Roman"/>
        </w:rPr>
        <w:t>arvioitaessa</w:t>
      </w:r>
      <w:r w:rsidR="00297032">
        <w:rPr>
          <w:rFonts w:ascii="Times New Roman" w:hAnsi="Times New Roman"/>
        </w:rPr>
        <w:t xml:space="preserve"> pakotteiden kiertämiseen liittyvää riskiä </w:t>
      </w:r>
    </w:p>
    <w:p w14:paraId="666C3A9F" w14:textId="77777777" w:rsidR="00297032" w:rsidRDefault="007F6428" w:rsidP="00297032">
      <w:pPr>
        <w:pStyle w:val="ListParagraph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 w:rsidRPr="00297032">
        <w:rPr>
          <w:rFonts w:ascii="Times New Roman" w:hAnsi="Times New Roman"/>
        </w:rPr>
        <w:t>Liite I</w:t>
      </w:r>
    </w:p>
    <w:p w14:paraId="40012692" w14:textId="40402EC2" w:rsidR="00297032" w:rsidRDefault="00986D63" w:rsidP="00297032">
      <w:pPr>
        <w:pStyle w:val="ListParagraph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Miten määritetään omistus </w:t>
      </w:r>
      <w:r w:rsidR="007F6428" w:rsidRPr="00297032">
        <w:rPr>
          <w:rFonts w:ascii="Times New Roman" w:hAnsi="Times New Roman"/>
        </w:rPr>
        <w:t>ja määräysvalta?</w:t>
      </w:r>
    </w:p>
    <w:p w14:paraId="1F08E667" w14:textId="45C209DC" w:rsidR="007F6428" w:rsidRPr="00297032" w:rsidRDefault="007F6428" w:rsidP="00297032">
      <w:pPr>
        <w:pStyle w:val="ListParagraph"/>
        <w:numPr>
          <w:ilvl w:val="1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 w:rsidRPr="00297032">
        <w:rPr>
          <w:rFonts w:ascii="Times New Roman" w:hAnsi="Times New Roman"/>
        </w:rPr>
        <w:t>Mikä on ”lopullinen edunsaaja” ja miksi sillä on väliä?</w:t>
      </w:r>
    </w:p>
    <w:p w14:paraId="6F25A7BD" w14:textId="7E90C455" w:rsidR="007F6428" w:rsidRPr="00297032" w:rsidRDefault="00297032" w:rsidP="00297032">
      <w:pPr>
        <w:pStyle w:val="ListParagraph"/>
        <w:numPr>
          <w:ilvl w:val="0"/>
          <w:numId w:val="14"/>
        </w:numPr>
        <w:spacing w:before="120" w:after="120"/>
        <w:ind w:hanging="357"/>
        <w:contextualSpacing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Liite II – Yhteystiedot</w:t>
      </w:r>
      <w:r w:rsidR="007F6428" w:rsidRPr="00297032">
        <w:rPr>
          <w:rFonts w:ascii="Times New Roman" w:hAnsi="Times New Roman"/>
        </w:rPr>
        <w:t xml:space="preserve"> lisätietojen saamiseksi ja mahdollisten pakotteiden kiertämisen ilmoittamiseksi.</w:t>
      </w:r>
    </w:p>
    <w:p w14:paraId="43C229D8" w14:textId="0ACC227B" w:rsidR="007F6428" w:rsidRDefault="007F6428" w:rsidP="00CF3CA5">
      <w:pPr>
        <w:jc w:val="both"/>
        <w:rPr>
          <w:rFonts w:ascii="Times New Roman" w:hAnsi="Times New Roman"/>
        </w:rPr>
      </w:pPr>
    </w:p>
    <w:p w14:paraId="54538872" w14:textId="69EAAB6A" w:rsidR="00297032" w:rsidRDefault="00297032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54CD9703" w14:textId="2A43BD5B" w:rsidR="006477DE" w:rsidRPr="00297032" w:rsidRDefault="00297032" w:rsidP="00297032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Mikä riskinarviointi ja </w:t>
      </w:r>
      <w:r w:rsidR="006477DE" w:rsidRPr="00297032">
        <w:rPr>
          <w:rFonts w:ascii="Times New Roman" w:hAnsi="Times New Roman"/>
          <w:b/>
          <w:bCs/>
        </w:rPr>
        <w:t xml:space="preserve">siinä tulisi </w:t>
      </w:r>
      <w:r>
        <w:rPr>
          <w:rFonts w:ascii="Times New Roman" w:hAnsi="Times New Roman"/>
          <w:b/>
          <w:bCs/>
        </w:rPr>
        <w:t>huomioida</w:t>
      </w:r>
      <w:r w:rsidR="006477DE" w:rsidRPr="00297032">
        <w:rPr>
          <w:rFonts w:ascii="Times New Roman" w:hAnsi="Times New Roman"/>
          <w:b/>
          <w:bCs/>
        </w:rPr>
        <w:t xml:space="preserve">? </w:t>
      </w:r>
    </w:p>
    <w:p w14:paraId="427DC0EF" w14:textId="7385DC8C" w:rsidR="006477DE" w:rsidRDefault="00297032" w:rsidP="006477DE">
      <w:pPr>
        <w:jc w:val="both"/>
        <w:rPr>
          <w:rFonts w:ascii="Times New Roman" w:hAnsi="Times New Roman" w:cs="Times New Roman"/>
        </w:rPr>
      </w:pPr>
      <w:r w:rsidRPr="00297032">
        <w:rPr>
          <w:rFonts w:ascii="Times New Roman" w:hAnsi="Times New Roman"/>
        </w:rPr>
        <w:t xml:space="preserve">Yritysten suositellaan käyttävän </w:t>
      </w:r>
      <w:r w:rsidRPr="00CE1846">
        <w:rPr>
          <w:rFonts w:ascii="Times New Roman" w:hAnsi="Times New Roman"/>
          <w:b/>
        </w:rPr>
        <w:t>riskiperusteista lähestymistapaa</w:t>
      </w:r>
      <w:r w:rsidRPr="00297032">
        <w:rPr>
          <w:rFonts w:ascii="Times New Roman" w:hAnsi="Times New Roman"/>
        </w:rPr>
        <w:t xml:space="preserve"> hallitakseen mahdollisia uhkia ja haavoittuvuuksia toimintaympäristössään suhteessa </w:t>
      </w:r>
      <w:r>
        <w:rPr>
          <w:rFonts w:ascii="Times New Roman" w:hAnsi="Times New Roman"/>
        </w:rPr>
        <w:t>pakotteisiin</w:t>
      </w:r>
      <w:r w:rsidRPr="00297032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="006477DE">
        <w:rPr>
          <w:rFonts w:ascii="Times New Roman" w:hAnsi="Times New Roman"/>
        </w:rPr>
        <w:t xml:space="preserve">Riskinarviointi (lisätietoa on esimerkiksi </w:t>
      </w:r>
      <w:hyperlink r:id="rId8" w:history="1">
        <w:r w:rsidR="006477DE">
          <w:rPr>
            <w:rStyle w:val="Hyperlink"/>
            <w:rFonts w:ascii="Times New Roman" w:hAnsi="Times New Roman"/>
          </w:rPr>
          <w:t>kysymyksissä ja vastauksissa rajoittavia toimenpiteitä koskevasta asianmukaisesta huolellisuudesta</w:t>
        </w:r>
      </w:hyperlink>
      <w:r w:rsidR="006477DE">
        <w:rPr>
          <w:rFonts w:ascii="Times New Roman" w:hAnsi="Times New Roman"/>
        </w:rPr>
        <w:t>) on prosessi, jonka tarkoituksena on tunnistaa mahdolliset riskit arvioimalla tapahtuman todennäköisyyttä ja sen aiheuttamaa mahdollista vahinkoa. Arvioinnin laajuuden ja kattavuuden määrittämisessä voi</w:t>
      </w:r>
      <w:r w:rsidR="00986D63">
        <w:rPr>
          <w:rFonts w:ascii="Times New Roman" w:hAnsi="Times New Roman"/>
        </w:rPr>
        <w:t>daan ottaa huomioon seuraavat asiat</w:t>
      </w:r>
      <w:r w:rsidR="006477DE">
        <w:rPr>
          <w:rFonts w:ascii="Times New Roman" w:hAnsi="Times New Roman"/>
        </w:rPr>
        <w:t xml:space="preserve">: </w:t>
      </w:r>
    </w:p>
    <w:p w14:paraId="15193232" w14:textId="77777777" w:rsidR="00D40899" w:rsidRPr="00DB60A0" w:rsidRDefault="00D40899" w:rsidP="006477DE">
      <w:pPr>
        <w:jc w:val="both"/>
        <w:rPr>
          <w:rFonts w:ascii="Times New Roman" w:hAnsi="Times New Roman" w:cs="Times New Roman"/>
        </w:rPr>
      </w:pPr>
    </w:p>
    <w:p w14:paraId="111E3D12" w14:textId="65B1CAA9" w:rsidR="00D609C1" w:rsidRDefault="00C347C9" w:rsidP="00C347C9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D0FA1A" wp14:editId="5D177795">
                <wp:simplePos x="0" y="0"/>
                <wp:positionH relativeFrom="column">
                  <wp:posOffset>0</wp:posOffset>
                </wp:positionH>
                <wp:positionV relativeFrom="paragraph">
                  <wp:posOffset>1774190</wp:posOffset>
                </wp:positionV>
                <wp:extent cx="1461304" cy="400110"/>
                <wp:effectExtent l="0" t="0" r="0" b="0"/>
                <wp:wrapNone/>
                <wp:docPr id="6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B1C37A74-F9F3-E7C5-70D7-F96480B16F2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1304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CD22A1A" w14:textId="77777777" w:rsidR="00C347C9" w:rsidRPr="00C347C9" w:rsidRDefault="00C347C9" w:rsidP="00C347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Käytön tarkoitus </w:t>
                            </w:r>
                          </w:p>
                          <w:p w14:paraId="45A5E7A9" w14:textId="77777777" w:rsidR="00C347C9" w:rsidRPr="00C347C9" w:rsidRDefault="00C347C9" w:rsidP="00C347C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(sotilas- tai siviiliala)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5D0FA1A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0;margin-top:139.7pt;width:115.05pt;height:3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" filled="f" stroked="f">
                <v:textbox style="mso-fit-shape-to-text:t">
                  <w:txbxContent>
                    <w:p w14:paraId="1CD22A1A" w14:textId="77777777" w:rsidR="00C347C9" w:rsidRPr="00C347C9" w:rsidRDefault="00C347C9" w:rsidP="00C347C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Käytön tarkoitus </w:t>
                      </w:r>
                    </w:p>
                    <w:p w14:paraId="45A5E7A9" w14:textId="77777777" w:rsidR="00C347C9" w:rsidRPr="00C347C9" w:rsidRDefault="00C347C9" w:rsidP="00C347C9">
                      <w:pPr>
                        <w:spacing w:after="0"/>
                        <w:jc w:val="center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(sotilas- tai siviiliala)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37B8C" wp14:editId="65B7A3B1">
                <wp:simplePos x="0" y="0"/>
                <wp:positionH relativeFrom="column">
                  <wp:posOffset>495935</wp:posOffset>
                </wp:positionH>
                <wp:positionV relativeFrom="paragraph">
                  <wp:posOffset>1255395</wp:posOffset>
                </wp:positionV>
                <wp:extent cx="523294" cy="518416"/>
                <wp:effectExtent l="0" t="0" r="10160" b="15240"/>
                <wp:wrapNone/>
                <wp:docPr id="5" name="Ova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5DDAFE-ED44-3FE7-EA71-34D62B344D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94" cy="51841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2A0079E" id="Oval 4" o:spid="_x0000_s1026" style="position:absolute;margin-left:39.05pt;margin-top:98.85pt;width:41.2pt;height:4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" fillcolor="#e2efd9 [665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1312" behindDoc="0" locked="0" layoutInCell="1" allowOverlap="1" wp14:anchorId="510FA47A" wp14:editId="6025BABA">
            <wp:simplePos x="0" y="0"/>
            <wp:positionH relativeFrom="column">
              <wp:posOffset>548005</wp:posOffset>
            </wp:positionH>
            <wp:positionV relativeFrom="paragraph">
              <wp:posOffset>1315720</wp:posOffset>
            </wp:positionV>
            <wp:extent cx="398631" cy="398631"/>
            <wp:effectExtent l="0" t="0" r="1905" b="1905"/>
            <wp:wrapNone/>
            <wp:docPr id="8" name="Content Placeholder 7" descr="Luettelomalli">
              <a:extLst xmlns:a="http://schemas.openxmlformats.org/drawingml/2006/main">
                <a:ext uri="{FF2B5EF4-FFF2-40B4-BE49-F238E27FC236}">
                  <a16:creationId xmlns:a16="http://schemas.microsoft.com/office/drawing/2014/main" id="{30E169C1-C13F-2F8E-439B-4B59D9FE629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ontent Placeholder 7" descr="Inventory outline">
                      <a:extLst>
                        <a:ext uri="{FF2B5EF4-FFF2-40B4-BE49-F238E27FC236}">
                          <a16:creationId xmlns:a16="http://schemas.microsoft.com/office/drawing/2014/main" id="{30E169C1-C13F-2F8E-439B-4B59D9FE629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631" cy="3986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796CAE" wp14:editId="274B1366">
                <wp:simplePos x="0" y="0"/>
                <wp:positionH relativeFrom="column">
                  <wp:posOffset>524510</wp:posOffset>
                </wp:positionH>
                <wp:positionV relativeFrom="paragraph">
                  <wp:posOffset>16510</wp:posOffset>
                </wp:positionV>
                <wp:extent cx="523294" cy="518416"/>
                <wp:effectExtent l="0" t="0" r="10160" b="15240"/>
                <wp:wrapNone/>
                <wp:docPr id="9" name="Oval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B8CBF0-8094-DBBD-7CB7-BABEEA2E30B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94" cy="51841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C669DD0" id="Oval 8" o:spid="_x0000_s1026" style="position:absolute;margin-left:41.3pt;margin-top:1.3pt;width:41.2pt;height:4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" fillcolor="#e2efd9 [665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33EEC6" wp14:editId="115BD6AF">
                <wp:simplePos x="0" y="0"/>
                <wp:positionH relativeFrom="column">
                  <wp:posOffset>3025775</wp:posOffset>
                </wp:positionH>
                <wp:positionV relativeFrom="paragraph">
                  <wp:posOffset>1827530</wp:posOffset>
                </wp:positionV>
                <wp:extent cx="1298005" cy="400110"/>
                <wp:effectExtent l="0" t="0" r="0" b="0"/>
                <wp:wrapNone/>
                <wp:docPr id="10" name="TextBox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7BC0C3FF-48D2-992A-69FD-395DF237E82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8005" cy="400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B50B6D" w14:textId="786B1B86" w:rsidR="00C347C9" w:rsidRPr="00297032" w:rsidRDefault="00C347C9" w:rsidP="00C347C9">
                            <w:pPr>
                              <w:jc w:val="center"/>
                              <w:rPr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Muut asianomaiset osapuolet</w:t>
                            </w:r>
                            <w:r w:rsidR="00297032"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97032" w:rsidRPr="00297032">
                              <w:rPr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(kuten maksaja)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33EEC6" id="TextBox 9" o:spid="_x0000_s1027" type="#_x0000_t202" style="position:absolute;margin-left:238.25pt;margin-top:143.9pt;width:102.2pt;height:3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" filled="f" stroked="f">
                <v:textbox style="mso-fit-shape-to-text:t">
                  <w:txbxContent>
                    <w:p w14:paraId="08B50B6D" w14:textId="786B1B86" w:rsidR="00C347C9" w:rsidRPr="00297032" w:rsidRDefault="00C347C9" w:rsidP="00C347C9">
                      <w:pPr>
                        <w:jc w:val="center"/>
                        <w:rPr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Muut asianomaiset osapuolet</w:t>
                      </w:r>
                      <w:r w:rsidR="00297032"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297032" w:rsidRPr="00297032">
                        <w:rPr>
                          <w:bCs/>
                          <w:color w:val="000000" w:themeColor="text1"/>
                          <w:sz w:val="20"/>
                          <w:szCs w:val="20"/>
                        </w:rPr>
                        <w:t>(kuten maksaja)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47A642" wp14:editId="56C1EBAC">
                <wp:simplePos x="0" y="0"/>
                <wp:positionH relativeFrom="column">
                  <wp:posOffset>1954530</wp:posOffset>
                </wp:positionH>
                <wp:positionV relativeFrom="paragraph">
                  <wp:posOffset>0</wp:posOffset>
                </wp:positionV>
                <wp:extent cx="523294" cy="518416"/>
                <wp:effectExtent l="0" t="0" r="10160" b="15240"/>
                <wp:wrapNone/>
                <wp:docPr id="11" name="Oval 10">
                  <a:extLst xmlns:a="http://schemas.openxmlformats.org/drawingml/2006/main">
                    <a:ext uri="{FF2B5EF4-FFF2-40B4-BE49-F238E27FC236}">
                      <a16:creationId xmlns:a16="http://schemas.microsoft.com/office/drawing/2014/main" id="{1502A245-177A-D804-A279-5E5F88C8D19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94" cy="51841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497336" id="Oval 10" o:spid="_x0000_s1026" style="position:absolute;margin-left:153.9pt;margin-top:0;width:41.2pt;height:4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" fillcolor="#e2efd9 [665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87AFA14" wp14:editId="50D8ADE0">
                <wp:simplePos x="0" y="0"/>
                <wp:positionH relativeFrom="column">
                  <wp:posOffset>1903095</wp:posOffset>
                </wp:positionH>
                <wp:positionV relativeFrom="paragraph">
                  <wp:posOffset>1289685</wp:posOffset>
                </wp:positionV>
                <wp:extent cx="523294" cy="518416"/>
                <wp:effectExtent l="0" t="0" r="10160" b="15240"/>
                <wp:wrapNone/>
                <wp:docPr id="12" name="Oval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341B2213-5DBC-897F-6ED5-E836CDD5576F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94" cy="51841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BD16D3F" id="Oval 11" o:spid="_x0000_s1026" style="position:absolute;margin-left:149.85pt;margin-top:101.55pt;width:41.2pt;height:40.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" fillcolor="#e2efd9 [665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39357B3" wp14:editId="66982207">
                <wp:simplePos x="0" y="0"/>
                <wp:positionH relativeFrom="column">
                  <wp:posOffset>3367405</wp:posOffset>
                </wp:positionH>
                <wp:positionV relativeFrom="paragraph">
                  <wp:posOffset>6350</wp:posOffset>
                </wp:positionV>
                <wp:extent cx="523294" cy="518416"/>
                <wp:effectExtent l="0" t="0" r="10160" b="15240"/>
                <wp:wrapNone/>
                <wp:docPr id="13" name="Oval 12">
                  <a:extLst xmlns:a="http://schemas.openxmlformats.org/drawingml/2006/main">
                    <a:ext uri="{FF2B5EF4-FFF2-40B4-BE49-F238E27FC236}">
                      <a16:creationId xmlns:a16="http://schemas.microsoft.com/office/drawing/2014/main" id="{A1FCB036-A2F1-12E9-6D02-123199C3BBD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94" cy="51841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C9E1F7D" id="Oval 12" o:spid="_x0000_s1026" style="position:absolute;margin-left:265.15pt;margin-top:.5pt;width:41.2pt;height:4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" fillcolor="#e2efd9 [665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5E42A0" wp14:editId="3C2EFD65">
                <wp:simplePos x="0" y="0"/>
                <wp:positionH relativeFrom="column">
                  <wp:posOffset>3367405</wp:posOffset>
                </wp:positionH>
                <wp:positionV relativeFrom="paragraph">
                  <wp:posOffset>1306830</wp:posOffset>
                </wp:positionV>
                <wp:extent cx="523294" cy="518416"/>
                <wp:effectExtent l="0" t="0" r="10160" b="15240"/>
                <wp:wrapNone/>
                <wp:docPr id="14" name="Oval 13">
                  <a:extLst xmlns:a="http://schemas.openxmlformats.org/drawingml/2006/main">
                    <a:ext uri="{FF2B5EF4-FFF2-40B4-BE49-F238E27FC236}">
                      <a16:creationId xmlns:a16="http://schemas.microsoft.com/office/drawing/2014/main" id="{D47B2321-DC2A-2BBC-7341-0D31B846B9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294" cy="518416"/>
                        </a:xfrm>
                        <a:prstGeom prst="ellipse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ABCFA74" id="Oval 13" o:spid="_x0000_s1026" style="position:absolute;margin-left:265.15pt;margin-top:102.9pt;width:41.2pt;height:4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" fillcolor="#e2efd9 [665]" strokecolor="white [3212]" strokeweight="1pt">
                <v:stroke joinstyle="miter"/>
              </v:oval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68480" behindDoc="0" locked="0" layoutInCell="1" allowOverlap="1" wp14:anchorId="71BBDC89" wp14:editId="4F087399">
            <wp:simplePos x="0" y="0"/>
            <wp:positionH relativeFrom="column">
              <wp:posOffset>580390</wp:posOffset>
            </wp:positionH>
            <wp:positionV relativeFrom="paragraph">
              <wp:posOffset>43815</wp:posOffset>
            </wp:positionV>
            <wp:extent cx="404746" cy="404746"/>
            <wp:effectExtent l="0" t="0" r="0" b="0"/>
            <wp:wrapNone/>
            <wp:docPr id="16" name="Graphic 15" descr="Lohkoketjumalli">
              <a:extLst xmlns:a="http://schemas.openxmlformats.org/drawingml/2006/main">
                <a:ext uri="{FF2B5EF4-FFF2-40B4-BE49-F238E27FC236}">
                  <a16:creationId xmlns:a16="http://schemas.microsoft.com/office/drawing/2014/main" id="{F30ACA9F-573F-9948-B58E-DE732388DA4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phic 15" descr="Blockchain outline">
                      <a:extLst>
                        <a:ext uri="{FF2B5EF4-FFF2-40B4-BE49-F238E27FC236}">
                          <a16:creationId xmlns:a16="http://schemas.microsoft.com/office/drawing/2014/main" id="{F30ACA9F-573F-9948-B58E-DE732388DA4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6" cy="40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69504" behindDoc="0" locked="0" layoutInCell="1" allowOverlap="1" wp14:anchorId="124789EE" wp14:editId="5D831EAA">
            <wp:simplePos x="0" y="0"/>
            <wp:positionH relativeFrom="column">
              <wp:posOffset>2013585</wp:posOffset>
            </wp:positionH>
            <wp:positionV relativeFrom="paragraph">
              <wp:posOffset>42545</wp:posOffset>
            </wp:positionV>
            <wp:extent cx="404746" cy="404746"/>
            <wp:effectExtent l="0" t="0" r="0" b="0"/>
            <wp:wrapNone/>
            <wp:docPr id="19" name="Graphic 18" descr="Maalitaulumalli">
              <a:extLst xmlns:a="http://schemas.openxmlformats.org/drawingml/2006/main">
                <a:ext uri="{FF2B5EF4-FFF2-40B4-BE49-F238E27FC236}">
                  <a16:creationId xmlns:a16="http://schemas.microsoft.com/office/drawing/2014/main" id="{982B61BA-E9B0-DEAE-C6B2-D08772492FA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Graphic 18" descr="Bullseye outline">
                      <a:extLst>
                        <a:ext uri="{FF2B5EF4-FFF2-40B4-BE49-F238E27FC236}">
                          <a16:creationId xmlns:a16="http://schemas.microsoft.com/office/drawing/2014/main" id="{982B61BA-E9B0-DEAE-C6B2-D08772492FA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6" cy="40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3C4A3C" wp14:editId="45F8978B">
                <wp:simplePos x="0" y="0"/>
                <wp:positionH relativeFrom="column">
                  <wp:posOffset>1311910</wp:posOffset>
                </wp:positionH>
                <wp:positionV relativeFrom="paragraph">
                  <wp:posOffset>481330</wp:posOffset>
                </wp:positionV>
                <wp:extent cx="1774459" cy="707886"/>
                <wp:effectExtent l="0" t="0" r="0" b="0"/>
                <wp:wrapNone/>
                <wp:docPr id="20" name="TextBox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8D55819-0584-D996-B0E0-670B455AF6A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459" cy="70788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483FD96" w14:textId="77777777" w:rsidR="00C347C9" w:rsidRPr="00C347C9" w:rsidRDefault="00C347C9" w:rsidP="00C347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Kohde</w:t>
                            </w:r>
                          </w:p>
                          <w:p w14:paraId="76A424AD" w14:textId="12390877" w:rsidR="00C347C9" w:rsidRPr="00C347C9" w:rsidRDefault="00C347C9" w:rsidP="00C347C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(asiakkaan tausta, liikekumppani, toimittaja, alihankkija</w:t>
                            </w:r>
                            <w:r w:rsidR="00AD3A23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)</w:t>
                            </w:r>
                            <w:r w:rsidR="00E16108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3C4A3C" id="TextBox 19" o:spid="_x0000_s1028" type="#_x0000_t202" style="position:absolute;margin-left:103.3pt;margin-top:37.9pt;width:139.7pt;height:55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" filled="f" stroked="f">
                <v:textbox style="mso-fit-shape-to-text:t">
                  <w:txbxContent>
                    <w:p w14:paraId="2483FD96" w14:textId="77777777" w:rsidR="00C347C9" w:rsidRPr="00C347C9" w:rsidRDefault="00C347C9" w:rsidP="00C347C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Kohde</w:t>
                      </w:r>
                    </w:p>
                    <w:p w14:paraId="76A424AD" w14:textId="12390877" w:rsidR="00C347C9" w:rsidRPr="00C347C9" w:rsidRDefault="00C347C9" w:rsidP="00C347C9">
                      <w:pPr>
                        <w:spacing w:after="0"/>
                        <w:jc w:val="center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(asiakkaan tausta, liikekumppani, toimittaja, alihankkija</w:t>
                      </w:r>
                      <w:r w:rsidR="00AD3A23">
                        <w:rPr>
                          <w:color w:val="000000" w:themeColor="text1"/>
                          <w:sz w:val="20"/>
                          <w:szCs w:val="20"/>
                        </w:rPr>
                        <w:t>)</w:t>
                      </w:r>
                      <w:r w:rsidR="00E16108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CDA8EBA" wp14:editId="17A2709B">
                <wp:simplePos x="0" y="0"/>
                <wp:positionH relativeFrom="column">
                  <wp:posOffset>2874645</wp:posOffset>
                </wp:positionH>
                <wp:positionV relativeFrom="paragraph">
                  <wp:posOffset>438785</wp:posOffset>
                </wp:positionV>
                <wp:extent cx="1557169" cy="553998"/>
                <wp:effectExtent l="0" t="0" r="0" b="0"/>
                <wp:wrapNone/>
                <wp:docPr id="21" name="TextBox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64735F9-8D93-9197-915D-CD8D482D24E8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7169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220021A" w14:textId="77777777" w:rsidR="00C347C9" w:rsidRPr="00C347C9" w:rsidRDefault="00C347C9" w:rsidP="00C347C9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Loppukäyttäjä </w:t>
                            </w:r>
                          </w:p>
                          <w:p w14:paraId="70FD5FA8" w14:textId="77777777" w:rsidR="00C347C9" w:rsidRPr="00C347C9" w:rsidRDefault="00C347C9" w:rsidP="00C347C9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>(hallitus, armeija, yksityinen)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DA8EBA" id="TextBox 20" o:spid="_x0000_s1029" type="#_x0000_t202" style="position:absolute;margin-left:226.35pt;margin-top:34.55pt;width:122.6pt;height:43.6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" filled="f" stroked="f">
                <v:textbox style="mso-fit-shape-to-text:t">
                  <w:txbxContent>
                    <w:p w14:paraId="1220021A" w14:textId="77777777" w:rsidR="00C347C9" w:rsidRPr="00C347C9" w:rsidRDefault="00C347C9" w:rsidP="00C347C9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Loppukäyttäjä </w:t>
                      </w:r>
                    </w:p>
                    <w:p w14:paraId="70FD5FA8" w14:textId="77777777" w:rsidR="00C347C9" w:rsidRPr="00C347C9" w:rsidRDefault="00C347C9" w:rsidP="00C347C9">
                      <w:pPr>
                        <w:spacing w:after="0"/>
                        <w:jc w:val="center"/>
                        <w:rPr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color w:val="000000" w:themeColor="text1"/>
                          <w:sz w:val="20"/>
                          <w:szCs w:val="20"/>
                        </w:rPr>
                        <w:t>(hallitus, armeija, yksityinen)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DC6A7AD" wp14:editId="591B689F">
                <wp:simplePos x="0" y="0"/>
                <wp:positionH relativeFrom="column">
                  <wp:posOffset>1274445</wp:posOffset>
                </wp:positionH>
                <wp:positionV relativeFrom="paragraph">
                  <wp:posOffset>1796415</wp:posOffset>
                </wp:positionV>
                <wp:extent cx="1774459" cy="553998"/>
                <wp:effectExtent l="0" t="0" r="0" b="0"/>
                <wp:wrapNone/>
                <wp:docPr id="22" name="TextBox 21">
                  <a:extLst xmlns:a="http://schemas.openxmlformats.org/drawingml/2006/main">
                    <a:ext uri="{FF2B5EF4-FFF2-40B4-BE49-F238E27FC236}">
                      <a16:creationId xmlns:a16="http://schemas.microsoft.com/office/drawing/2014/main" id="{70D67D39-282D-F611-EE28-476269B8B47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459" cy="55399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34BA36C" w14:textId="77777777" w:rsidR="00C347C9" w:rsidRPr="00C347C9" w:rsidRDefault="00C347C9" w:rsidP="00C347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Sopimuksen koko ja liiketoimet/maksukanava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C6A7AD" id="TextBox 21" o:spid="_x0000_s1030" type="#_x0000_t202" style="position:absolute;margin-left:100.35pt;margin-top:141.45pt;width:139.7pt;height:43.6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" filled="f" stroked="f">
                <v:textbox style="mso-fit-shape-to-text:t">
                  <w:txbxContent>
                    <w:p w14:paraId="434BA36C" w14:textId="77777777" w:rsidR="00C347C9" w:rsidRPr="00C347C9" w:rsidRDefault="00C347C9" w:rsidP="00C347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Sopimuksen koko ja liiketoimet/maksukanava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896E43" wp14:editId="3257B34B">
                <wp:simplePos x="0" y="0"/>
                <wp:positionH relativeFrom="column">
                  <wp:posOffset>311785</wp:posOffset>
                </wp:positionH>
                <wp:positionV relativeFrom="paragraph">
                  <wp:posOffset>481965</wp:posOffset>
                </wp:positionV>
                <wp:extent cx="941928" cy="246221"/>
                <wp:effectExtent l="0" t="0" r="0" b="0"/>
                <wp:wrapNone/>
                <wp:docPr id="23" name="TextBox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64421EDF-D51F-0436-0B8A-F7C763EB945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1928" cy="24622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C93595" w14:textId="77777777" w:rsidR="00C347C9" w:rsidRDefault="00C347C9" w:rsidP="00C347C9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Tavarat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96E43" id="TextBox 22" o:spid="_x0000_s1031" type="#_x0000_t202" style="position:absolute;margin-left:24.55pt;margin-top:37.95pt;width:74.15pt;height:19.4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" filled="f" stroked="f">
                <v:textbox style="mso-fit-shape-to-text:t">
                  <w:txbxContent>
                    <w:p w14:paraId="47C93595" w14:textId="77777777" w:rsidR="00C347C9" w:rsidRDefault="00C347C9" w:rsidP="00C347C9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Tavarat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w:drawing>
          <wp:anchor distT="0" distB="0" distL="114300" distR="114300" simplePos="0" relativeHeight="251674624" behindDoc="0" locked="0" layoutInCell="1" allowOverlap="1" wp14:anchorId="69860B80" wp14:editId="567423BC">
            <wp:simplePos x="0" y="0"/>
            <wp:positionH relativeFrom="column">
              <wp:posOffset>3440430</wp:posOffset>
            </wp:positionH>
            <wp:positionV relativeFrom="paragraph">
              <wp:posOffset>1337945</wp:posOffset>
            </wp:positionV>
            <wp:extent cx="404746" cy="404746"/>
            <wp:effectExtent l="0" t="0" r="0" b="0"/>
            <wp:wrapNone/>
            <wp:docPr id="25" name="Graphic 24" descr="Kiertomalli, johon kuuluu ihmisiä">
              <a:extLst xmlns:a="http://schemas.openxmlformats.org/drawingml/2006/main">
                <a:ext uri="{FF2B5EF4-FFF2-40B4-BE49-F238E27FC236}">
                  <a16:creationId xmlns:a16="http://schemas.microsoft.com/office/drawing/2014/main" id="{DAFE387F-3B92-10EA-E78A-DDB1690BEF5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Graphic 24" descr="Cycle with people outline">
                      <a:extLst>
                        <a:ext uri="{FF2B5EF4-FFF2-40B4-BE49-F238E27FC236}">
                          <a16:creationId xmlns:a16="http://schemas.microsoft.com/office/drawing/2014/main" id="{DAFE387F-3B92-10EA-E78A-DDB1690BEF5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746" cy="4047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5648" behindDoc="0" locked="0" layoutInCell="1" allowOverlap="1" wp14:anchorId="408BD543" wp14:editId="4F814FBE">
            <wp:simplePos x="0" y="0"/>
            <wp:positionH relativeFrom="column">
              <wp:posOffset>3440430</wp:posOffset>
            </wp:positionH>
            <wp:positionV relativeFrom="paragraph">
              <wp:posOffset>42545</wp:posOffset>
            </wp:positionV>
            <wp:extent cx="391596" cy="391596"/>
            <wp:effectExtent l="0" t="0" r="8890" b="8890"/>
            <wp:wrapNone/>
            <wp:docPr id="27" name="Graphic 26" descr="Käyttäjäverkkomalli">
              <a:extLst xmlns:a="http://schemas.openxmlformats.org/drawingml/2006/main">
                <a:ext uri="{FF2B5EF4-FFF2-40B4-BE49-F238E27FC236}">
                  <a16:creationId xmlns:a16="http://schemas.microsoft.com/office/drawing/2014/main" id="{1A33CC94-83CA-A984-37BE-206BA207AC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Graphic 26" descr="User network outline">
                      <a:extLst>
                        <a:ext uri="{FF2B5EF4-FFF2-40B4-BE49-F238E27FC236}">
                          <a16:creationId xmlns:a16="http://schemas.microsoft.com/office/drawing/2014/main" id="{1A33CC94-83CA-A984-37BE-206BA207AC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596" cy="3915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w:drawing>
          <wp:anchor distT="0" distB="0" distL="114300" distR="114300" simplePos="0" relativeHeight="251676672" behindDoc="0" locked="0" layoutInCell="1" allowOverlap="1" wp14:anchorId="2EDD1526" wp14:editId="72812692">
            <wp:simplePos x="0" y="0"/>
            <wp:positionH relativeFrom="column">
              <wp:posOffset>1984375</wp:posOffset>
            </wp:positionH>
            <wp:positionV relativeFrom="paragraph">
              <wp:posOffset>1337945</wp:posOffset>
            </wp:positionV>
            <wp:extent cx="354290" cy="354290"/>
            <wp:effectExtent l="0" t="0" r="8255" b="8255"/>
            <wp:wrapNone/>
            <wp:docPr id="29" name="Graphic 28" descr="Kokoelmamalli">
              <a:extLst xmlns:a="http://schemas.openxmlformats.org/drawingml/2006/main">
                <a:ext uri="{FF2B5EF4-FFF2-40B4-BE49-F238E27FC236}">
                  <a16:creationId xmlns:a16="http://schemas.microsoft.com/office/drawing/2014/main" id="{336A4AF0-3260-713C-E8A4-058DA66810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Graphic 28" descr="Bank outline">
                      <a:extLst>
                        <a:ext uri="{FF2B5EF4-FFF2-40B4-BE49-F238E27FC236}">
                          <a16:creationId xmlns:a16="http://schemas.microsoft.com/office/drawing/2014/main" id="{336A4AF0-3260-713C-E8A4-058DA66810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290" cy="35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B1B216" wp14:editId="3F09EA5B">
                <wp:simplePos x="0" y="0"/>
                <wp:positionH relativeFrom="column">
                  <wp:posOffset>1134745</wp:posOffset>
                </wp:positionH>
                <wp:positionV relativeFrom="paragraph">
                  <wp:posOffset>245110</wp:posOffset>
                </wp:positionV>
                <wp:extent cx="669820" cy="0"/>
                <wp:effectExtent l="0" t="0" r="0" b="0"/>
                <wp:wrapNone/>
                <wp:docPr id="33" name="Straight Connector 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21A1F9BD-BD54-DBBB-355B-80602E6AC45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02E8E85" id="Straight Connector 32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19.3pt" to="142.1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" strokecolor="black [3213]" strokeweight=".5pt">
                <v:stroke dashstyle="longDashDot" joinstyle="miter"/>
                <o:lock v:ext="edit" shapetype="f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708244" wp14:editId="49426968">
                <wp:simplePos x="0" y="0"/>
                <wp:positionH relativeFrom="column">
                  <wp:posOffset>1134745</wp:posOffset>
                </wp:positionH>
                <wp:positionV relativeFrom="paragraph">
                  <wp:posOffset>1549400</wp:posOffset>
                </wp:positionV>
                <wp:extent cx="669820" cy="0"/>
                <wp:effectExtent l="0" t="0" r="0" b="0"/>
                <wp:wrapNone/>
                <wp:docPr id="42" name="Straight Connector 4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11A5542-742E-A866-D4C8-A5DAA2E1121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6982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1741A3B8" id="Straight Connector 41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9.35pt,122pt" to="142.1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" strokecolor="black [3213]" strokeweight=".5pt">
                <v:stroke dashstyle="longDashDot" joinstyle="miter"/>
                <o:lock v:ext="edit" shapetype="f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D29A9E" wp14:editId="11825F17">
                <wp:simplePos x="0" y="0"/>
                <wp:positionH relativeFrom="column">
                  <wp:posOffset>2633980</wp:posOffset>
                </wp:positionH>
                <wp:positionV relativeFrom="paragraph">
                  <wp:posOffset>1549400</wp:posOffset>
                </wp:positionV>
                <wp:extent cx="607021" cy="0"/>
                <wp:effectExtent l="0" t="0" r="0" b="0"/>
                <wp:wrapNone/>
                <wp:docPr id="44" name="Straight Connector 43">
                  <a:extLst xmlns:a="http://schemas.openxmlformats.org/drawingml/2006/main">
                    <a:ext uri="{FF2B5EF4-FFF2-40B4-BE49-F238E27FC236}">
                      <a16:creationId xmlns:a16="http://schemas.microsoft.com/office/drawing/2014/main" id="{E546AA5D-5EB5-5AF3-A14D-890CC6BFF011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702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6447B347" id="Straight Connector 43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7.4pt,122pt" to="255.2pt,1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" strokecolor="black [3213]" strokeweight=".5pt">
                <v:stroke dashstyle="longDashDot" joinstyle="miter"/>
                <o:lock v:ext="edit" shapetype="f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186B7F7" wp14:editId="384C6AED">
                <wp:simplePos x="0" y="0"/>
                <wp:positionH relativeFrom="column">
                  <wp:posOffset>2543810</wp:posOffset>
                </wp:positionH>
                <wp:positionV relativeFrom="paragraph">
                  <wp:posOffset>228600</wp:posOffset>
                </wp:positionV>
                <wp:extent cx="788100" cy="0"/>
                <wp:effectExtent l="0" t="0" r="0" b="0"/>
                <wp:wrapNone/>
                <wp:docPr id="69" name="Straight Connector 68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416F64-018C-4DC2-500C-72EBFC181EDD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81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C45BB74" id="Straight Connector 6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0.3pt,18pt" to="262.3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" strokecolor="black [3213]" strokeweight=".5pt">
                <v:stroke dashstyle="longDashDot" joinstyle="miter"/>
                <o:lock v:ext="edit" shapetype="f"/>
              </v:lin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6AEEB06" wp14:editId="5F7B38B8">
                <wp:simplePos x="0" y="0"/>
                <wp:positionH relativeFrom="column">
                  <wp:posOffset>770255</wp:posOffset>
                </wp:positionH>
                <wp:positionV relativeFrom="paragraph">
                  <wp:posOffset>775335</wp:posOffset>
                </wp:positionV>
                <wp:extent cx="0" cy="353943"/>
                <wp:effectExtent l="0" t="0" r="38100" b="27305"/>
                <wp:wrapNone/>
                <wp:docPr id="132" name="Straight Connector 131">
                  <a:extLst xmlns:a="http://schemas.openxmlformats.org/drawingml/2006/main">
                    <a:ext uri="{FF2B5EF4-FFF2-40B4-BE49-F238E27FC236}">
                      <a16:creationId xmlns:a16="http://schemas.microsoft.com/office/drawing/2014/main" id="{EA5B3E55-F5C5-B69B-2A69-129491BBF9DE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53943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AAB53C" id="Straight Connector 131" o:spid="_x0000_s1026" style="position:absolute;flip:y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0.65pt,61.05pt" to="60.65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" strokecolor="black [3213]" strokeweight=".5pt">
                <v:stroke dashstyle="longDashDot" joinstyle="miter"/>
              </v:line>
            </w:pict>
          </mc:Fallback>
        </mc:AlternateContent>
      </w:r>
    </w:p>
    <w:p w14:paraId="7F094433" w14:textId="77777777" w:rsidR="00D609C1" w:rsidRPr="00DB60A0" w:rsidRDefault="00D609C1" w:rsidP="00D609C1">
      <w:pPr>
        <w:jc w:val="right"/>
      </w:pPr>
    </w:p>
    <w:p w14:paraId="53B16D4C" w14:textId="77777777" w:rsidR="00D609C1" w:rsidRPr="00DB60A0" w:rsidRDefault="00D609C1" w:rsidP="006477DE">
      <w:pPr>
        <w:jc w:val="both"/>
      </w:pPr>
    </w:p>
    <w:p w14:paraId="63EAF4EC" w14:textId="70B8A02A" w:rsidR="00C347C9" w:rsidRDefault="00C347C9" w:rsidP="006477DE">
      <w:pPr>
        <w:jc w:val="both"/>
      </w:pP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3BC822" wp14:editId="0181B5AD">
                <wp:simplePos x="0" y="0"/>
                <wp:positionH relativeFrom="column">
                  <wp:posOffset>3629025</wp:posOffset>
                </wp:positionH>
                <wp:positionV relativeFrom="paragraph">
                  <wp:posOffset>214394</wp:posOffset>
                </wp:positionV>
                <wp:extent cx="0" cy="186357"/>
                <wp:effectExtent l="0" t="0" r="38100" b="23495"/>
                <wp:wrapNone/>
                <wp:docPr id="133" name="Straight Connector 132">
                  <a:extLst xmlns:a="http://schemas.openxmlformats.org/drawingml/2006/main">
                    <a:ext uri="{FF2B5EF4-FFF2-40B4-BE49-F238E27FC236}">
                      <a16:creationId xmlns:a16="http://schemas.microsoft.com/office/drawing/2014/main" id="{8022448F-C6C9-2A40-CA1D-9CB80D0A148A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86357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lgDash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56ACBAD2" id="Straight Connector 132" o:spid="_x0000_s1026" style="position:absolute;flip:y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5.75pt,16.9pt" to="285.75pt,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" strokecolor="black [3213]" strokeweight=".5pt">
                <v:stroke dashstyle="longDashDot" joinstyle="miter"/>
                <o:lock v:ext="edit" shapetype="f"/>
              </v:line>
            </w:pict>
          </mc:Fallback>
        </mc:AlternateContent>
      </w:r>
    </w:p>
    <w:p w14:paraId="199C6602" w14:textId="77777777" w:rsidR="00C347C9" w:rsidRPr="00DB60A0" w:rsidRDefault="00C347C9" w:rsidP="006477DE">
      <w:pPr>
        <w:jc w:val="both"/>
      </w:pPr>
    </w:p>
    <w:p w14:paraId="0B7460B8" w14:textId="4BC10CC6" w:rsidR="00C347C9" w:rsidRPr="00DB60A0" w:rsidRDefault="00C347C9" w:rsidP="006477DE">
      <w:pPr>
        <w:jc w:val="both"/>
      </w:pPr>
    </w:p>
    <w:p w14:paraId="03D033F8" w14:textId="77777777" w:rsidR="00297032" w:rsidRDefault="00297032" w:rsidP="002F6E70">
      <w:pPr>
        <w:jc w:val="both"/>
        <w:rPr>
          <w:rFonts w:ascii="Times New Roman" w:hAnsi="Times New Roman"/>
          <w:b/>
        </w:rPr>
      </w:pPr>
    </w:p>
    <w:p w14:paraId="21A923AF" w14:textId="77777777" w:rsidR="00297032" w:rsidRDefault="00297032" w:rsidP="002F6E70">
      <w:pPr>
        <w:jc w:val="both"/>
        <w:rPr>
          <w:rFonts w:ascii="Times New Roman" w:hAnsi="Times New Roman"/>
          <w:b/>
        </w:rPr>
      </w:pPr>
    </w:p>
    <w:p w14:paraId="294F1509" w14:textId="400BE921" w:rsidR="00297032" w:rsidRDefault="00297032" w:rsidP="002F6E70">
      <w:pPr>
        <w:jc w:val="both"/>
        <w:rPr>
          <w:rFonts w:ascii="Times New Roman" w:hAnsi="Times New Roman"/>
          <w:b/>
        </w:rPr>
      </w:pPr>
    </w:p>
    <w:p w14:paraId="7F1616E7" w14:textId="0B6A100C" w:rsidR="00C00331" w:rsidRPr="00297032" w:rsidRDefault="00CF3CA5" w:rsidP="00297032">
      <w:pPr>
        <w:pStyle w:val="ListParagraph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297032">
        <w:rPr>
          <w:rFonts w:ascii="Times New Roman" w:hAnsi="Times New Roman"/>
          <w:b/>
        </w:rPr>
        <w:t>Yrityksen asiakkaan tuntemismenettelyssä huomioon otettav</w:t>
      </w:r>
      <w:r w:rsidR="00AD3A23">
        <w:rPr>
          <w:rFonts w:ascii="Times New Roman" w:hAnsi="Times New Roman"/>
          <w:b/>
        </w:rPr>
        <w:t>ia</w:t>
      </w:r>
      <w:r w:rsidRPr="00297032">
        <w:rPr>
          <w:rFonts w:ascii="Times New Roman" w:hAnsi="Times New Roman"/>
          <w:b/>
        </w:rPr>
        <w:t xml:space="preserve"> asi</w:t>
      </w:r>
      <w:r w:rsidR="00AD3A23">
        <w:rPr>
          <w:rFonts w:ascii="Times New Roman" w:hAnsi="Times New Roman"/>
          <w:b/>
        </w:rPr>
        <w:t>oita</w:t>
      </w:r>
    </w:p>
    <w:p w14:paraId="0D799D2C" w14:textId="652FB93A" w:rsidR="004C2F6F" w:rsidRPr="002965AE" w:rsidRDefault="00C00331" w:rsidP="00C0033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Mahdollisen pakotteiden kiertämisen riskianalyysin tulisi olla osa yrityksen tavanomaista asiakkaan tuntemismenettelyä</w:t>
      </w:r>
      <w:r w:rsidR="00297032">
        <w:rPr>
          <w:rFonts w:ascii="Times New Roman" w:hAnsi="Times New Roman"/>
        </w:rPr>
        <w:t xml:space="preserve"> (KYC)</w:t>
      </w:r>
      <w:r w:rsidR="004409FF">
        <w:rPr>
          <w:rFonts w:ascii="Times New Roman" w:hAnsi="Times New Roman"/>
        </w:rPr>
        <w:t>. M</w:t>
      </w:r>
      <w:r>
        <w:rPr>
          <w:rFonts w:ascii="Times New Roman" w:hAnsi="Times New Roman"/>
        </w:rPr>
        <w:t>enettelyssä tulisi vastata</w:t>
      </w:r>
      <w:r w:rsidR="0017467D">
        <w:rPr>
          <w:rFonts w:ascii="Times New Roman" w:hAnsi="Times New Roman"/>
        </w:rPr>
        <w:t xml:space="preserve"> muun muassa</w:t>
      </w:r>
      <w:r>
        <w:rPr>
          <w:rFonts w:ascii="Times New Roman" w:hAnsi="Times New Roman"/>
        </w:rPr>
        <w:t xml:space="preserve"> seuraaviin kysymyksiin: </w:t>
      </w:r>
      <w:r>
        <w:rPr>
          <w:rFonts w:ascii="Times New Roman" w:hAnsi="Times New Roman"/>
          <w:b/>
        </w:rPr>
        <w:t xml:space="preserve">  </w:t>
      </w:r>
    </w:p>
    <w:p w14:paraId="0D8F6134" w14:textId="77777777" w:rsidR="004C2F6F" w:rsidRPr="002965AE" w:rsidRDefault="004C2F6F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tuotteesi/palvelusi pakotteiden kohteena?</w:t>
      </w:r>
    </w:p>
    <w:p w14:paraId="083AE6D6" w14:textId="29397A3E" w:rsidR="0082735D" w:rsidRPr="002965AE" w:rsidRDefault="004C2F6F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l</w:t>
      </w:r>
      <w:r w:rsidR="00F16064">
        <w:rPr>
          <w:rFonts w:ascii="Times New Roman" w:hAnsi="Times New Roman"/>
        </w:rPr>
        <w:t>iikekumppanisi pakotelistalla</w:t>
      </w:r>
      <w:r>
        <w:rPr>
          <w:rFonts w:ascii="Times New Roman" w:hAnsi="Times New Roman"/>
        </w:rPr>
        <w:t xml:space="preserve"> tai onko se pakotteiden kohteena olevan osapuolen omistuksessa tai määräysvallassa?</w:t>
      </w:r>
    </w:p>
    <w:p w14:paraId="5090AE8E" w14:textId="6E8C1D9E" w:rsidR="004C2F6F" w:rsidRPr="002965AE" w:rsidRDefault="004C2F6F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Onko liikekumppanisi yhteydessä esimerkiksi Venäjän puolustusalaan liittyviin yhteisöihin tai yhteisöihin, joiden epäillään tai tiedetään kauppaavan pakotteiden kohteena olevia tavaroita ja teknologioita Venäjälle? </w:t>
      </w:r>
    </w:p>
    <w:p w14:paraId="73013A12" w14:textId="3240B989" w:rsidR="005A6B61" w:rsidRPr="002965AE" w:rsidRDefault="005A6B61" w:rsidP="005A6B61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liikekumppanisi osakkeenomistaja, hallintoelimen (johtokunnan, hallintoneuvoston tms.) jäsen tai joku johtajatason työntekijä (esim. toimitusjohtaja, talousjohtaja) yhteydessä yhteisöihin, jotka liittyvät esimerkiksi Venäjän korkeisiin virkamiehiin / poliittisesti vaikutusvaltaisiin henkilöihin, Venäjän puolustusalaan tai yhteisöihin, joiden epäillään tai tiedetään kauppaavan tavaroita ja teknologioita Venäjälle?</w:t>
      </w:r>
    </w:p>
    <w:p w14:paraId="59854CEF" w14:textId="0C3DA312" w:rsidR="004C2F6F" w:rsidRPr="002965AE" w:rsidRDefault="004C2F6F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Mikä on suunniteltu liiketoimi ja onko siinä pakotteiden kiertämisen riskiä? Onko tapauksessa mitään varoitusmerkkejä herättäviä ominaisuuksia (jäljempänä on yksityiskohtainen luettelo mahdollisista varoitusmerkeistä)? </w:t>
      </w:r>
    </w:p>
    <w:p w14:paraId="56E8CDC3" w14:textId="77777777" w:rsidR="00F16064" w:rsidRPr="00F16064" w:rsidRDefault="004C2F6F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Kuka on loppukäyttäjä? Onko loppukäyttäjätodistus saatavissa?</w:t>
      </w:r>
      <w:r w:rsidR="00F16064">
        <w:rPr>
          <w:rFonts w:ascii="Times New Roman" w:hAnsi="Times New Roman"/>
        </w:rPr>
        <w:t xml:space="preserve"> - Huomioithan, että loppukäyttäjätodistuksia voidaan väärentää.</w:t>
      </w:r>
    </w:p>
    <w:p w14:paraId="69E5545F" w14:textId="1F3922B6" w:rsidR="004C2F6F" w:rsidRPr="002965AE" w:rsidRDefault="00F16064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Kuka on maksaja? Mitä pankkia maksaja tulee käyttämään?  </w:t>
      </w:r>
    </w:p>
    <w:p w14:paraId="1DE2C1C4" w14:textId="77777777" w:rsidR="004C2F6F" w:rsidRPr="002965AE" w:rsidRDefault="004C2F6F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liikesopimuksessasi lauseke pakotteiden kiertämisestä ja vastuusta?</w:t>
      </w:r>
    </w:p>
    <w:p w14:paraId="1F303C58" w14:textId="59CDEE1F" w:rsidR="004C2F6F" w:rsidRPr="002965AE" w:rsidRDefault="0053497D" w:rsidP="004C2F6F">
      <w:pPr>
        <w:pStyle w:val="ListParagraph"/>
        <w:numPr>
          <w:ilvl w:val="0"/>
          <w:numId w:val="7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Onko </w:t>
      </w:r>
      <w:r w:rsidR="004C2F6F">
        <w:rPr>
          <w:rFonts w:ascii="Times New Roman" w:hAnsi="Times New Roman"/>
        </w:rPr>
        <w:t>yrityksessä</w:t>
      </w:r>
      <w:r>
        <w:rPr>
          <w:rFonts w:ascii="Times New Roman" w:hAnsi="Times New Roman"/>
        </w:rPr>
        <w:t>si</w:t>
      </w:r>
      <w:r w:rsidR="004C2F6F">
        <w:rPr>
          <w:rFonts w:ascii="Times New Roman" w:hAnsi="Times New Roman"/>
        </w:rPr>
        <w:t xml:space="preserve"> otettu käyttöön sisäiset prosessit asiakkaan tuntemista varten, muun muassa asiakkaan tuntemisprosessien kirjallinen dokumentointi?</w:t>
      </w:r>
      <w:r w:rsidR="0017467D">
        <w:rPr>
          <w:rFonts w:ascii="Times New Roman" w:hAnsi="Times New Roman"/>
        </w:rPr>
        <w:br/>
      </w:r>
    </w:p>
    <w:p w14:paraId="327A4245" w14:textId="77777777" w:rsidR="004409FF" w:rsidRPr="004409FF" w:rsidRDefault="004409FF" w:rsidP="004409FF">
      <w:pPr>
        <w:pStyle w:val="ListParagraph"/>
        <w:rPr>
          <w:rFonts w:ascii="Times New Roman" w:hAnsi="Times New Roman" w:cs="Times New Roman"/>
          <w:b/>
        </w:rPr>
      </w:pPr>
    </w:p>
    <w:p w14:paraId="1887C208" w14:textId="26269DA3" w:rsidR="00503CCB" w:rsidRPr="0053497D" w:rsidRDefault="00010297" w:rsidP="0053497D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b/>
        </w:rPr>
      </w:pPr>
      <w:r w:rsidRPr="0053497D">
        <w:rPr>
          <w:rFonts w:ascii="Times New Roman" w:hAnsi="Times New Roman"/>
          <w:b/>
        </w:rPr>
        <w:t xml:space="preserve">Varoitusmerkit Venäjään tai kolmanteen maahan liittyvissä liiketoimissa: </w:t>
      </w:r>
    </w:p>
    <w:p w14:paraId="6FB3905C" w14:textId="522274D5" w:rsidR="0053497D" w:rsidRDefault="0053497D" w:rsidP="0053497D">
      <w:pPr>
        <w:pStyle w:val="ListParagraph"/>
        <w:rPr>
          <w:rFonts w:ascii="Times New Roman" w:hAnsi="Times New Roman" w:cs="Times New Roman"/>
          <w:b/>
        </w:rPr>
      </w:pPr>
    </w:p>
    <w:p w14:paraId="0EE8F24A" w14:textId="14B835E9" w:rsidR="0017467D" w:rsidRPr="00A552B9" w:rsidRDefault="0017467D" w:rsidP="00A552B9">
      <w:pPr>
        <w:rPr>
          <w:rFonts w:ascii="Times New Roman" w:hAnsi="Times New Roman" w:cs="Times New Roman"/>
        </w:rPr>
      </w:pPr>
      <w:r w:rsidRPr="00A552B9">
        <w:rPr>
          <w:rFonts w:ascii="Times New Roman" w:hAnsi="Times New Roman" w:cs="Times New Roman"/>
        </w:rPr>
        <w:t>Seuraava</w:t>
      </w:r>
      <w:r>
        <w:rPr>
          <w:rFonts w:ascii="Times New Roman" w:hAnsi="Times New Roman" w:cs="Times New Roman"/>
        </w:rPr>
        <w:t xml:space="preserve">t varoitusmerkit on koottu </w:t>
      </w:r>
      <w:r w:rsidR="00196850">
        <w:rPr>
          <w:rFonts w:ascii="Times New Roman" w:hAnsi="Times New Roman" w:cs="Times New Roman"/>
        </w:rPr>
        <w:t>eri EU-</w:t>
      </w:r>
      <w:r w:rsidR="00D9111D">
        <w:rPr>
          <w:rFonts w:ascii="Times New Roman" w:hAnsi="Times New Roman" w:cs="Times New Roman"/>
        </w:rPr>
        <w:t xml:space="preserve"> ja jäsenmaiden </w:t>
      </w:r>
      <w:r w:rsidR="00196850">
        <w:rPr>
          <w:rFonts w:ascii="Times New Roman" w:hAnsi="Times New Roman" w:cs="Times New Roman"/>
        </w:rPr>
        <w:t>viranomaisten</w:t>
      </w:r>
      <w:r w:rsidR="00A552B9">
        <w:rPr>
          <w:rFonts w:ascii="Times New Roman" w:hAnsi="Times New Roman" w:cs="Times New Roman"/>
        </w:rPr>
        <w:t xml:space="preserve"> tiedoista ja havainnoista koskien pakotteiden kiertämistä: </w:t>
      </w:r>
    </w:p>
    <w:p w14:paraId="2C610FDB" w14:textId="77777777" w:rsidR="0017467D" w:rsidRPr="0053497D" w:rsidRDefault="0017467D" w:rsidP="0053497D">
      <w:pPr>
        <w:pStyle w:val="ListParagraph"/>
        <w:rPr>
          <w:rFonts w:ascii="Times New Roman" w:hAnsi="Times New Roman" w:cs="Times New Roman"/>
          <w:b/>
        </w:rPr>
      </w:pPr>
    </w:p>
    <w:p w14:paraId="2B2B5A04" w14:textId="23273F1E" w:rsidR="00503CCB" w:rsidRDefault="00503CCB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Eurooppalaisen yrityksen </w:t>
      </w:r>
      <w:r>
        <w:rPr>
          <w:rFonts w:ascii="Times New Roman" w:hAnsi="Times New Roman"/>
          <w:b/>
          <w:bCs/>
        </w:rPr>
        <w:t>vienti ohjataan uudelleen kolmansiin maihin</w:t>
      </w:r>
      <w:r>
        <w:rPr>
          <w:rFonts w:ascii="Times New Roman" w:hAnsi="Times New Roman"/>
        </w:rPr>
        <w:t>, joiden talouden toimijoiden</w:t>
      </w:r>
      <w:r w:rsidR="0053497D">
        <w:rPr>
          <w:rStyle w:val="FootnoteReference"/>
          <w:rFonts w:ascii="Times New Roman" w:hAnsi="Times New Roman"/>
        </w:rPr>
        <w:footnoteReference w:id="2"/>
      </w:r>
      <w:r>
        <w:rPr>
          <w:rFonts w:ascii="Times New Roman" w:hAnsi="Times New Roman"/>
        </w:rPr>
        <w:t xml:space="preserve"> tiedetään auttavan Venäjän talouden toimijoita tuomaan pakotteiden kohteena olevia tavaroita ja teknologioita. Lisäksi on riittävästi syitä olettaa, että </w:t>
      </w:r>
      <w:r>
        <w:rPr>
          <w:rFonts w:ascii="Times New Roman" w:hAnsi="Times New Roman"/>
          <w:b/>
          <w:bCs/>
        </w:rPr>
        <w:t>tavaroiden ja teknologioiden lopullinen määränpää on Venäjä</w:t>
      </w:r>
      <w:r>
        <w:rPr>
          <w:rFonts w:ascii="Times New Roman" w:hAnsi="Times New Roman"/>
        </w:rPr>
        <w:t>.</w:t>
      </w:r>
    </w:p>
    <w:p w14:paraId="3A6602C9" w14:textId="78FE7E50" w:rsidR="00E133F9" w:rsidRPr="00930894" w:rsidRDefault="00E133F9" w:rsidP="00B203D4">
      <w:pPr>
        <w:pStyle w:val="ListParagraph"/>
        <w:numPr>
          <w:ilvl w:val="0"/>
          <w:numId w:val="2"/>
        </w:numPr>
        <w:ind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Erityistä huomiota tulisi kiinnittää kotimaisiin/eurooppalaisiin yrityksiin,</w:t>
      </w:r>
    </w:p>
    <w:p w14:paraId="58A4BA43" w14:textId="087CABA5" w:rsidR="00E133F9" w:rsidRPr="00930894" w:rsidRDefault="00E133F9" w:rsidP="00B203D4">
      <w:pPr>
        <w:pStyle w:val="ListParagraph"/>
        <w:numPr>
          <w:ilvl w:val="1"/>
          <w:numId w:val="2"/>
        </w:numPr>
        <w:ind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jotka ovat käyneet pitkään kauppaa Venäjän kanssa </w:t>
      </w:r>
    </w:p>
    <w:p w14:paraId="428A920D" w14:textId="0F509A0F" w:rsidR="00E133F9" w:rsidRPr="00930894" w:rsidRDefault="00E133F9" w:rsidP="00B203D4">
      <w:pPr>
        <w:pStyle w:val="ListParagraph"/>
        <w:numPr>
          <w:ilvl w:val="1"/>
          <w:numId w:val="2"/>
        </w:numPr>
        <w:ind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joiden liiketoimintaan liittyy Venäjän-kauppaa</w:t>
      </w:r>
    </w:p>
    <w:p w14:paraId="6C78E7D5" w14:textId="350C555F" w:rsidR="00E133F9" w:rsidRPr="00930894" w:rsidRDefault="00E133F9" w:rsidP="00B203D4">
      <w:pPr>
        <w:pStyle w:val="ListParagraph"/>
        <w:numPr>
          <w:ilvl w:val="1"/>
          <w:numId w:val="2"/>
        </w:numPr>
        <w:ind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jotka ovat vasta äskettäin muuttaneet toimintaansa tai avanneet uutta toimintaa ulkomailla, esimerkiksi kolmansiin maihin</w:t>
      </w:r>
    </w:p>
    <w:p w14:paraId="60D3C8D2" w14:textId="49B3D830" w:rsidR="00E133F9" w:rsidRPr="00930894" w:rsidRDefault="00E133F9" w:rsidP="00B203D4">
      <w:pPr>
        <w:pStyle w:val="ListParagraph"/>
        <w:numPr>
          <w:ilvl w:val="1"/>
          <w:numId w:val="2"/>
        </w:numPr>
        <w:spacing w:after="120"/>
        <w:ind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joiden toiminta (vienti, tuonti ja rahoitustoimet) eroaa merkittävästi aiemmasta toiminnasta. </w:t>
      </w:r>
    </w:p>
    <w:p w14:paraId="39290C44" w14:textId="50A52E4E" w:rsidR="00DD3E73" w:rsidRPr="002965AE" w:rsidRDefault="00DD3E73" w:rsidP="00B203D4">
      <w:pPr>
        <w:pStyle w:val="ListParagraph"/>
        <w:numPr>
          <w:ilvl w:val="0"/>
          <w:numId w:val="2"/>
        </w:numPr>
        <w:spacing w:before="240"/>
        <w:ind w:left="714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Uusi</w:t>
      </w:r>
      <w:r>
        <w:rPr>
          <w:rFonts w:ascii="Times New Roman" w:hAnsi="Times New Roman"/>
        </w:rPr>
        <w:t xml:space="preserve"> liikekumppani </w:t>
      </w:r>
      <w:r>
        <w:rPr>
          <w:rFonts w:ascii="Times New Roman" w:hAnsi="Times New Roman"/>
          <w:b/>
          <w:bCs/>
        </w:rPr>
        <w:t>kolmannessa maassa</w:t>
      </w:r>
      <w:r>
        <w:rPr>
          <w:rFonts w:ascii="Times New Roman" w:hAnsi="Times New Roman"/>
        </w:rPr>
        <w:t>.</w:t>
      </w:r>
    </w:p>
    <w:p w14:paraId="2AFB41C9" w14:textId="73A51BD4" w:rsidR="005A6B61" w:rsidRPr="002965AE" w:rsidRDefault="005A6B61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Liikekumppani on </w:t>
      </w:r>
      <w:r>
        <w:rPr>
          <w:rFonts w:ascii="Times New Roman" w:hAnsi="Times New Roman"/>
          <w:b/>
          <w:bCs/>
        </w:rPr>
        <w:t>äskettäin perustettu</w:t>
      </w:r>
      <w:r>
        <w:rPr>
          <w:rFonts w:ascii="Times New Roman" w:hAnsi="Times New Roman"/>
        </w:rPr>
        <w:t xml:space="preserve"> tai sulautunut pakotteiden kohteena olevaan yhteisöön tai pakotteiden kohteena oleviin yhteisöihin tai henkilöihin liittyvään yhteisöön.</w:t>
      </w:r>
    </w:p>
    <w:p w14:paraId="04179603" w14:textId="6BEE4E8F" w:rsidR="005A6B61" w:rsidRPr="002965AE" w:rsidRDefault="005A6B61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Liikekumppanilla on </w:t>
      </w:r>
      <w:r>
        <w:rPr>
          <w:rFonts w:ascii="Times New Roman" w:hAnsi="Times New Roman"/>
          <w:b/>
          <w:bCs/>
        </w:rPr>
        <w:t>sama osoite</w:t>
      </w:r>
      <w:r>
        <w:rPr>
          <w:rFonts w:ascii="Times New Roman" w:hAnsi="Times New Roman"/>
        </w:rPr>
        <w:t xml:space="preserve"> kuin useilla kymmenillä eri yhtiöillä (se on siis todennäköisesti pöytälaatikkoyhtiö).</w:t>
      </w:r>
    </w:p>
    <w:p w14:paraId="1FC6DC39" w14:textId="70A8945C" w:rsidR="005A6B61" w:rsidRPr="002965AE" w:rsidRDefault="005A6B61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Toimitusjohtaja/johto </w:t>
      </w:r>
      <w:r>
        <w:rPr>
          <w:rFonts w:ascii="Times New Roman" w:hAnsi="Times New Roman"/>
          <w:b/>
          <w:bCs/>
        </w:rPr>
        <w:t>ei ole koskaan tavoitettavissa keskustelua varten</w:t>
      </w:r>
      <w:r>
        <w:rPr>
          <w:rFonts w:ascii="Times New Roman" w:hAnsi="Times New Roman"/>
        </w:rPr>
        <w:t xml:space="preserve"> eli kaikki viestintä tapahtuu sellaisen tavallisen työntekijän tai edustajan kanssa, jolla näyttää olevan yleinen valtakirja.</w:t>
      </w:r>
    </w:p>
    <w:p w14:paraId="76C86B1C" w14:textId="57E48F8D" w:rsidR="00010297" w:rsidRPr="002965AE" w:rsidRDefault="00010297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Muutokset omistusrakenteessa</w:t>
      </w:r>
      <w:r>
        <w:rPr>
          <w:rFonts w:ascii="Times New Roman" w:hAnsi="Times New Roman"/>
        </w:rPr>
        <w:t xml:space="preserve"> (yhtiö muuttaa omistuksen yhteisöön, joka ei ole pakotteiden kohteena, etenkin silloin, jos omistuksen siirto ja pakot</w:t>
      </w:r>
      <w:r w:rsidR="0053497D">
        <w:rPr>
          <w:rFonts w:ascii="Times New Roman" w:hAnsi="Times New Roman"/>
        </w:rPr>
        <w:t>teisiin asettaminen</w:t>
      </w:r>
      <w:r>
        <w:rPr>
          <w:rFonts w:ascii="Times New Roman" w:hAnsi="Times New Roman"/>
        </w:rPr>
        <w:t xml:space="preserve"> osuvat ajallisesti yhteen).</w:t>
      </w:r>
    </w:p>
    <w:p w14:paraId="01C20C48" w14:textId="0E508B28" w:rsidR="00010297" w:rsidRPr="002965AE" w:rsidRDefault="00010297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Omistus- tai johtamisjärjestelyjen </w:t>
      </w:r>
      <w:r>
        <w:rPr>
          <w:rFonts w:ascii="Times New Roman" w:hAnsi="Times New Roman"/>
          <w:b/>
          <w:bCs/>
        </w:rPr>
        <w:t>monimutkaisuus</w:t>
      </w:r>
      <w:r>
        <w:rPr>
          <w:rFonts w:ascii="Times New Roman" w:hAnsi="Times New Roman"/>
        </w:rPr>
        <w:t xml:space="preserve"> ja </w:t>
      </w:r>
      <w:r>
        <w:rPr>
          <w:rFonts w:ascii="Times New Roman" w:hAnsi="Times New Roman"/>
          <w:b/>
          <w:bCs/>
        </w:rPr>
        <w:t>peiteyritysten</w:t>
      </w:r>
      <w:r>
        <w:rPr>
          <w:rFonts w:ascii="Times New Roman" w:hAnsi="Times New Roman"/>
        </w:rPr>
        <w:t xml:space="preserve"> käyttö (muun muassa perheenjäsenten käyttö, monimutkaiset liiketoimintajärjestelyt, osakkeiden siirrot, yhtiön nimen muuttaminen, tunnettujen </w:t>
      </w:r>
      <w:proofErr w:type="spellStart"/>
      <w:r>
        <w:rPr>
          <w:rFonts w:ascii="Times New Roman" w:hAnsi="Times New Roman"/>
        </w:rPr>
        <w:t>offshore</w:t>
      </w:r>
      <w:proofErr w:type="spellEnd"/>
      <w:r>
        <w:rPr>
          <w:rFonts w:ascii="Times New Roman" w:hAnsi="Times New Roman"/>
        </w:rPr>
        <w:t>-paikkojen käyttö).</w:t>
      </w:r>
    </w:p>
    <w:p w14:paraId="0C5DEA6B" w14:textId="1E7E39C1" w:rsidR="00010297" w:rsidRPr="002965AE" w:rsidRDefault="00010297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Venäläisten yritysten </w:t>
      </w:r>
      <w:r>
        <w:rPr>
          <w:rFonts w:ascii="Times New Roman" w:hAnsi="Times New Roman"/>
          <w:b/>
          <w:bCs/>
        </w:rPr>
        <w:t>sijaitseminen pakotteiden kohteena olevien yhteisöjen yhteydessä</w:t>
      </w:r>
      <w:r>
        <w:rPr>
          <w:rFonts w:ascii="Times New Roman" w:hAnsi="Times New Roman"/>
        </w:rPr>
        <w:t xml:space="preserve"> ja kaupankäyntiin osallistuminen.</w:t>
      </w:r>
    </w:p>
    <w:p w14:paraId="09F6D08F" w14:textId="42F72937" w:rsidR="00010297" w:rsidRPr="002965AE" w:rsidRDefault="00010297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Liikekumppani on </w:t>
      </w:r>
      <w:r>
        <w:rPr>
          <w:rFonts w:ascii="Times New Roman" w:hAnsi="Times New Roman"/>
          <w:b/>
          <w:bCs/>
        </w:rPr>
        <w:t>tavarankuljetukseen</w:t>
      </w:r>
      <w:r>
        <w:rPr>
          <w:rFonts w:ascii="Times New Roman" w:hAnsi="Times New Roman"/>
        </w:rPr>
        <w:t xml:space="preserve"> keskittyvä yritys (kuljetusyrityksiä on käytetty pakotteiden kiertämiseen) tai tavaroiden tai palvelujen välitystoimisto/välittäjä.</w:t>
      </w:r>
    </w:p>
    <w:p w14:paraId="5CABC592" w14:textId="132C50C7" w:rsidR="00010297" w:rsidRPr="002965AE" w:rsidRDefault="004409FF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Maksut ja viestintään liittyvät varoitusmerkit</w:t>
      </w:r>
      <w:r w:rsidR="00010297">
        <w:rPr>
          <w:rFonts w:ascii="Times New Roman" w:hAnsi="Times New Roman"/>
        </w:rPr>
        <w:t>:</w:t>
      </w:r>
    </w:p>
    <w:p w14:paraId="44C7557F" w14:textId="5944DFE8" w:rsidR="00010297" w:rsidRPr="002965AE" w:rsidRDefault="0053497D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E</w:t>
      </w:r>
      <w:r w:rsidR="00010297">
        <w:rPr>
          <w:rFonts w:ascii="Times New Roman" w:hAnsi="Times New Roman"/>
          <w:b/>
          <w:bCs/>
        </w:rPr>
        <w:t>pätavanomaiset</w:t>
      </w:r>
      <w:r w:rsidR="00010297">
        <w:rPr>
          <w:rFonts w:ascii="Times New Roman" w:hAnsi="Times New Roman"/>
        </w:rPr>
        <w:t xml:space="preserve"> </w:t>
      </w:r>
      <w:r w:rsidR="00010297">
        <w:rPr>
          <w:rFonts w:ascii="Times New Roman" w:hAnsi="Times New Roman"/>
          <w:b/>
          <w:bCs/>
        </w:rPr>
        <w:t>maksumenetelmät</w:t>
      </w:r>
      <w:r w:rsidR="00010297">
        <w:rPr>
          <w:rFonts w:ascii="Times New Roman" w:hAnsi="Times New Roman"/>
        </w:rPr>
        <w:t xml:space="preserve"> tai valuutta</w:t>
      </w:r>
    </w:p>
    <w:p w14:paraId="2E27CBD2" w14:textId="6022D5EE" w:rsidR="00010297" w:rsidRPr="002965AE" w:rsidRDefault="0053497D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M</w:t>
      </w:r>
      <w:r w:rsidR="00010297">
        <w:rPr>
          <w:rFonts w:ascii="Times New Roman" w:hAnsi="Times New Roman"/>
          <w:b/>
          <w:bCs/>
        </w:rPr>
        <w:t>onenlaiset maksujärjestelyt</w:t>
      </w:r>
    </w:p>
    <w:p w14:paraId="47C2F33B" w14:textId="4D4C483F" w:rsidR="00010297" w:rsidRPr="002965AE" w:rsidRDefault="0053497D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S</w:t>
      </w:r>
      <w:r w:rsidR="00010297">
        <w:rPr>
          <w:rFonts w:ascii="Times New Roman" w:hAnsi="Times New Roman"/>
          <w:b/>
          <w:bCs/>
        </w:rPr>
        <w:t>iirrot liittyvät pakotteiden kohteena</w:t>
      </w:r>
      <w:r w:rsidR="00010297">
        <w:rPr>
          <w:rFonts w:ascii="Times New Roman" w:hAnsi="Times New Roman"/>
        </w:rPr>
        <w:t xml:space="preserve"> oleviin henkilöihin tai yhteisöihin (esim. maksut pakotteiden kohteena olevan yhteisön puolesta)</w:t>
      </w:r>
    </w:p>
    <w:p w14:paraId="28C15396" w14:textId="7D3884FF" w:rsidR="007958B0" w:rsidRPr="002965AE" w:rsidRDefault="0053497D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</w:t>
      </w:r>
      <w:r w:rsidR="007958B0">
        <w:rPr>
          <w:rFonts w:ascii="Times New Roman" w:hAnsi="Times New Roman"/>
        </w:rPr>
        <w:t xml:space="preserve">aksut suoritetaan </w:t>
      </w:r>
      <w:r w:rsidR="007958B0">
        <w:rPr>
          <w:rFonts w:ascii="Times New Roman" w:hAnsi="Times New Roman"/>
          <w:b/>
          <w:bCs/>
        </w:rPr>
        <w:t>kolmansille osapuolille</w:t>
      </w:r>
      <w:r w:rsidR="007958B0">
        <w:rPr>
          <w:rFonts w:ascii="Times New Roman" w:hAnsi="Times New Roman"/>
        </w:rPr>
        <w:t xml:space="preserve"> tai ne ovat peräisin </w:t>
      </w:r>
      <w:r w:rsidR="007958B0">
        <w:rPr>
          <w:rFonts w:ascii="Times New Roman" w:hAnsi="Times New Roman"/>
          <w:b/>
          <w:bCs/>
        </w:rPr>
        <w:t>kolmansilta osapuolilta</w:t>
      </w:r>
    </w:p>
    <w:p w14:paraId="33CE6EBF" w14:textId="388ABD90" w:rsidR="004409FF" w:rsidRPr="004409FF" w:rsidRDefault="004409FF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Rajat ylittävät rahansiirrot</w:t>
      </w:r>
    </w:p>
    <w:p w14:paraId="1BB0732B" w14:textId="63EA6FC3" w:rsidR="007958B0" w:rsidRPr="002965AE" w:rsidRDefault="0053497D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Sä</w:t>
      </w:r>
      <w:r w:rsidR="007958B0">
        <w:rPr>
          <w:rFonts w:ascii="Times New Roman" w:hAnsi="Times New Roman"/>
        </w:rPr>
        <w:t xml:space="preserve">hköisessä viestinnässä </w:t>
      </w:r>
      <w:r>
        <w:rPr>
          <w:rFonts w:ascii="Times New Roman" w:hAnsi="Times New Roman"/>
        </w:rPr>
        <w:t xml:space="preserve">käytetään </w:t>
      </w:r>
      <w:r w:rsidR="007958B0">
        <w:rPr>
          <w:rFonts w:ascii="Times New Roman" w:hAnsi="Times New Roman"/>
          <w:b/>
          <w:bCs/>
        </w:rPr>
        <w:t>venäläis</w:t>
      </w:r>
      <w:r>
        <w:rPr>
          <w:rFonts w:ascii="Times New Roman" w:hAnsi="Times New Roman"/>
          <w:b/>
          <w:bCs/>
        </w:rPr>
        <w:t>iä</w:t>
      </w:r>
      <w:r w:rsidR="007958B0">
        <w:rPr>
          <w:rFonts w:ascii="Times New Roman" w:hAnsi="Times New Roman"/>
          <w:b/>
          <w:bCs/>
        </w:rPr>
        <w:t xml:space="preserve"> tai valkovenäläis</w:t>
      </w:r>
      <w:r>
        <w:rPr>
          <w:rFonts w:ascii="Times New Roman" w:hAnsi="Times New Roman"/>
          <w:b/>
          <w:bCs/>
        </w:rPr>
        <w:t xml:space="preserve">iä </w:t>
      </w:r>
      <w:r w:rsidR="007958B0">
        <w:rPr>
          <w:rFonts w:ascii="Times New Roman" w:hAnsi="Times New Roman"/>
          <w:b/>
          <w:bCs/>
        </w:rPr>
        <w:t>verkkotunnuks</w:t>
      </w:r>
      <w:r>
        <w:rPr>
          <w:rFonts w:ascii="Times New Roman" w:hAnsi="Times New Roman"/>
          <w:b/>
          <w:bCs/>
        </w:rPr>
        <w:t>ia</w:t>
      </w:r>
    </w:p>
    <w:p w14:paraId="5B3EEBA5" w14:textId="49150842" w:rsidR="007958B0" w:rsidRPr="002965AE" w:rsidRDefault="0053497D" w:rsidP="00B203D4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V</w:t>
      </w:r>
      <w:r w:rsidR="007958B0">
        <w:rPr>
          <w:rFonts w:ascii="Times New Roman" w:hAnsi="Times New Roman"/>
          <w:b/>
          <w:bCs/>
        </w:rPr>
        <w:t>enäläisten tai valkovenäläisten televiestintäoperaattorien</w:t>
      </w:r>
      <w:r w:rsidR="007958B0">
        <w:rPr>
          <w:rFonts w:ascii="Times New Roman" w:hAnsi="Times New Roman"/>
        </w:rPr>
        <w:t xml:space="preserve"> palvelut (tunnistettavissa maatunnuksen perusteella)</w:t>
      </w:r>
    </w:p>
    <w:p w14:paraId="6545B247" w14:textId="60A19FDB" w:rsidR="00C33736" w:rsidRPr="002965AE" w:rsidRDefault="0053497D" w:rsidP="0053497D">
      <w:pPr>
        <w:pStyle w:val="ListParagraph"/>
        <w:numPr>
          <w:ilvl w:val="1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</w:t>
      </w:r>
      <w:r w:rsidR="007958B0">
        <w:rPr>
          <w:rFonts w:ascii="Times New Roman" w:hAnsi="Times New Roman"/>
        </w:rPr>
        <w:t xml:space="preserve">iestintään valitaan </w:t>
      </w:r>
      <w:r w:rsidR="007958B0">
        <w:rPr>
          <w:rFonts w:ascii="Times New Roman" w:hAnsi="Times New Roman"/>
          <w:b/>
          <w:bCs/>
        </w:rPr>
        <w:t>salattu sanomanvälitysalusta</w:t>
      </w:r>
      <w:r w:rsidR="007958B0">
        <w:rPr>
          <w:rFonts w:ascii="Times New Roman" w:hAnsi="Times New Roman"/>
        </w:rPr>
        <w:t xml:space="preserve">, esim. WhatsApp, </w:t>
      </w:r>
      <w:proofErr w:type="spellStart"/>
      <w:r w:rsidR="007958B0">
        <w:rPr>
          <w:rFonts w:ascii="Times New Roman" w:hAnsi="Times New Roman"/>
        </w:rPr>
        <w:t>Signal</w:t>
      </w:r>
      <w:proofErr w:type="spellEnd"/>
      <w:r w:rsidR="007958B0">
        <w:rPr>
          <w:rFonts w:ascii="Times New Roman" w:hAnsi="Times New Roman"/>
        </w:rPr>
        <w:t xml:space="preserve">, </w:t>
      </w:r>
      <w:r w:rsidR="007958B0">
        <w:rPr>
          <w:rFonts w:ascii="Times New Roman" w:hAnsi="Times New Roman"/>
          <w:b/>
          <w:bCs/>
        </w:rPr>
        <w:t>ilman</w:t>
      </w:r>
      <w:r w:rsidR="007958B0">
        <w:rPr>
          <w:rFonts w:ascii="Times New Roman" w:hAnsi="Times New Roman"/>
        </w:rPr>
        <w:t xml:space="preserve"> selvää </w:t>
      </w:r>
      <w:r w:rsidR="007958B0">
        <w:rPr>
          <w:rFonts w:ascii="Times New Roman" w:hAnsi="Times New Roman"/>
          <w:b/>
          <w:bCs/>
        </w:rPr>
        <w:t>syytä</w:t>
      </w:r>
      <w:r w:rsidR="007958B0">
        <w:rPr>
          <w:rFonts w:ascii="Times New Roman" w:hAnsi="Times New Roman"/>
        </w:rPr>
        <w:t>.</w:t>
      </w:r>
    </w:p>
    <w:p w14:paraId="1CFA0443" w14:textId="6AE8DFFE" w:rsidR="00010297" w:rsidRPr="002965AE" w:rsidRDefault="00010297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Muut merkit (esim. kauppasopimuksen tekeminen </w:t>
      </w:r>
      <w:r>
        <w:rPr>
          <w:rFonts w:ascii="Times New Roman" w:hAnsi="Times New Roman"/>
          <w:b/>
          <w:bCs/>
        </w:rPr>
        <w:t>kolmannen osapuolen</w:t>
      </w:r>
      <w:r>
        <w:rPr>
          <w:rFonts w:ascii="Times New Roman" w:hAnsi="Times New Roman"/>
        </w:rPr>
        <w:t xml:space="preserve"> kanssa, </w:t>
      </w:r>
      <w:r>
        <w:rPr>
          <w:rFonts w:ascii="Times New Roman" w:hAnsi="Times New Roman"/>
          <w:b/>
          <w:bCs/>
        </w:rPr>
        <w:t>perheenjäsenten</w:t>
      </w:r>
      <w:r>
        <w:rPr>
          <w:rFonts w:ascii="Times New Roman" w:hAnsi="Times New Roman"/>
        </w:rPr>
        <w:t xml:space="preserve"> käyttö).</w:t>
      </w:r>
    </w:p>
    <w:p w14:paraId="3E825269" w14:textId="377B5378" w:rsidR="00010297" w:rsidRPr="002965AE" w:rsidRDefault="00AE756E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Tuotteeseen tai palveluun liittyvät varoitusmerkit: </w:t>
      </w:r>
    </w:p>
    <w:p w14:paraId="75EA6297" w14:textId="77777777" w:rsidR="00AE756E" w:rsidRPr="00AE756E" w:rsidRDefault="00080DE6" w:rsidP="00AE756E">
      <w:pPr>
        <w:pStyle w:val="ListParagraph"/>
        <w:numPr>
          <w:ilvl w:val="1"/>
          <w:numId w:val="2"/>
        </w:numPr>
        <w:rPr>
          <w:rStyle w:val="Hyperlink"/>
          <w:rFonts w:ascii="Times New Roman" w:hAnsi="Times New Roman" w:cs="Times New Roman"/>
          <w:color w:val="auto"/>
          <w:u w:val="none"/>
        </w:rPr>
      </w:pPr>
      <w:r w:rsidRPr="00AE756E">
        <w:rPr>
          <w:rFonts w:ascii="Times New Roman" w:hAnsi="Times New Roman"/>
        </w:rPr>
        <w:t>K</w:t>
      </w:r>
      <w:r w:rsidR="00A552B9" w:rsidRPr="00AE756E">
        <w:rPr>
          <w:rFonts w:ascii="Times New Roman" w:hAnsi="Times New Roman"/>
        </w:rPr>
        <w:t>atso</w:t>
      </w:r>
      <w:r w:rsidRPr="00AE756E">
        <w:rPr>
          <w:rFonts w:ascii="Times New Roman" w:hAnsi="Times New Roman"/>
        </w:rPr>
        <w:t xml:space="preserve"> Euroopan komission julkaisemat luettelot </w:t>
      </w:r>
      <w:hyperlink r:id="rId22" w:history="1">
        <w:r w:rsidRPr="00AE756E">
          <w:rPr>
            <w:rStyle w:val="Hyperlink"/>
            <w:rFonts w:ascii="Times New Roman" w:hAnsi="Times New Roman"/>
          </w:rPr>
          <w:t>ensisijaisista taistelutarvikkeista</w:t>
        </w:r>
      </w:hyperlink>
      <w:r w:rsidRPr="00AE756E">
        <w:rPr>
          <w:rFonts w:ascii="Times New Roman" w:hAnsi="Times New Roman"/>
        </w:rPr>
        <w:t xml:space="preserve"> ja </w:t>
      </w:r>
      <w:hyperlink r:id="rId23" w:history="1">
        <w:r w:rsidRPr="00AE756E">
          <w:rPr>
            <w:rStyle w:val="Hyperlink"/>
            <w:rFonts w:ascii="Times New Roman" w:hAnsi="Times New Roman"/>
          </w:rPr>
          <w:t xml:space="preserve">talouden kannalta kriittisistä </w:t>
        </w:r>
        <w:proofErr w:type="spellStart"/>
        <w:r w:rsidRPr="00AE756E">
          <w:rPr>
            <w:rStyle w:val="Hyperlink"/>
            <w:rFonts w:ascii="Times New Roman" w:hAnsi="Times New Roman"/>
          </w:rPr>
          <w:t>tavaroista</w:t>
        </w:r>
      </w:hyperlink>
      <w:proofErr w:type="spellEnd"/>
    </w:p>
    <w:p w14:paraId="28A05858" w14:textId="19E15E46" w:rsidR="00010297" w:rsidRPr="00AE756E" w:rsidRDefault="00010297" w:rsidP="00AE75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proofErr w:type="spellStart"/>
      <w:r w:rsidRPr="00AE756E">
        <w:rPr>
          <w:rFonts w:ascii="Times New Roman" w:hAnsi="Times New Roman"/>
        </w:rPr>
        <w:t>Kryptopalvelut</w:t>
      </w:r>
      <w:proofErr w:type="spellEnd"/>
      <w:r w:rsidR="00AE2BB6" w:rsidRPr="002965AE">
        <w:rPr>
          <w:rStyle w:val="FootnoteReference"/>
          <w:rFonts w:ascii="Times New Roman" w:hAnsi="Times New Roman" w:cs="Times New Roman"/>
          <w:lang w:val="en-US"/>
        </w:rPr>
        <w:footnoteReference w:id="3"/>
      </w:r>
      <w:r w:rsidRPr="00AE756E">
        <w:rPr>
          <w:rFonts w:ascii="Times New Roman" w:hAnsi="Times New Roman"/>
        </w:rPr>
        <w:t>:</w:t>
      </w:r>
    </w:p>
    <w:p w14:paraId="79A3B3FD" w14:textId="46C9036B" w:rsidR="00347A66" w:rsidRPr="002965AE" w:rsidRDefault="00347A66" w:rsidP="00AE756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Asiakkaan liiketoimet ovat peräisin Venäjällä, Valko-Venäjällä tai rahanpesunvastaisen toimintaryhmän määrittämillä lainkäyttöalueilla, joilla on puutteita rahanpesun / terrorismin rahoituksen torjunnassa, sijaitsevista IP-osoitteista tai ne lähetetään kyseisiin osoitteisiin.</w:t>
      </w:r>
    </w:p>
    <w:p w14:paraId="2DFB346F" w14:textId="59ED8217" w:rsidR="00AE2BB6" w:rsidRPr="002965AE" w:rsidRDefault="00AE2BB6" w:rsidP="00AE756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Asiakkaan liiketoimet ovat yhteydessä </w:t>
      </w:r>
      <w:r>
        <w:rPr>
          <w:rFonts w:ascii="Times New Roman" w:hAnsi="Times New Roman"/>
          <w:b/>
          <w:bCs/>
        </w:rPr>
        <w:t>pakotteiden</w:t>
      </w:r>
      <w:r>
        <w:rPr>
          <w:rFonts w:ascii="Times New Roman" w:hAnsi="Times New Roman"/>
        </w:rPr>
        <w:t xml:space="preserve"> kohteisiin liittyviin </w:t>
      </w:r>
      <w:r>
        <w:rPr>
          <w:rFonts w:ascii="Times New Roman" w:hAnsi="Times New Roman"/>
          <w:b/>
          <w:bCs/>
        </w:rPr>
        <w:t>virtuaalivaluuttaosoitteisiin</w:t>
      </w:r>
      <w:r>
        <w:rPr>
          <w:rFonts w:ascii="Times New Roman" w:hAnsi="Times New Roman"/>
        </w:rPr>
        <w:t>.</w:t>
      </w:r>
    </w:p>
    <w:p w14:paraId="7FCD87A3" w14:textId="5F31837D" w:rsidR="00AE2BB6" w:rsidRPr="002965AE" w:rsidRDefault="00AE2BB6" w:rsidP="00AE756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Liiketoimella on suora tai epäsuora transaktioriski </w:t>
      </w:r>
      <w:r>
        <w:rPr>
          <w:rFonts w:ascii="Times New Roman" w:hAnsi="Times New Roman"/>
          <w:b/>
          <w:bCs/>
        </w:rPr>
        <w:t>virtuaalivaluutan vaihtojen</w:t>
      </w:r>
      <w:r>
        <w:rPr>
          <w:rFonts w:ascii="Times New Roman" w:hAnsi="Times New Roman"/>
        </w:rPr>
        <w:t xml:space="preserve"> tai Venäjällä sijaitsevien palvelujen vuoksi.</w:t>
      </w:r>
    </w:p>
    <w:p w14:paraId="29749D4B" w14:textId="508DDFAF" w:rsidR="00347A66" w:rsidRPr="002965AE" w:rsidRDefault="00AE2BB6" w:rsidP="00AE756E">
      <w:pPr>
        <w:pStyle w:val="ListParagraph"/>
        <w:numPr>
          <w:ilvl w:val="2"/>
          <w:numId w:val="2"/>
        </w:numPr>
        <w:ind w:hanging="181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Asiakas käynnistää varojen siirron, johon liittyy </w:t>
      </w:r>
      <w:proofErr w:type="spellStart"/>
      <w:r>
        <w:rPr>
          <w:rFonts w:ascii="Times New Roman" w:hAnsi="Times New Roman"/>
          <w:b/>
          <w:bCs/>
        </w:rPr>
        <w:t>kryptovaluutan</w:t>
      </w:r>
      <w:proofErr w:type="spellEnd"/>
      <w:r>
        <w:rPr>
          <w:rFonts w:ascii="Times New Roman" w:hAnsi="Times New Roman"/>
          <w:b/>
          <w:bCs/>
        </w:rPr>
        <w:t xml:space="preserve"> sekoituspalvelu</w:t>
      </w:r>
      <w:r>
        <w:rPr>
          <w:rFonts w:ascii="Times New Roman" w:hAnsi="Times New Roman"/>
        </w:rPr>
        <w:t>.</w:t>
      </w:r>
    </w:p>
    <w:p w14:paraId="089806D8" w14:textId="3EC0A2C7" w:rsidR="00010297" w:rsidRPr="002965AE" w:rsidRDefault="00D40899" w:rsidP="00AE75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>Arvokkaan omaisuuden</w:t>
      </w:r>
      <w:r>
        <w:rPr>
          <w:rFonts w:ascii="Times New Roman" w:hAnsi="Times New Roman"/>
        </w:rPr>
        <w:t xml:space="preserve"> käyttö.</w:t>
      </w:r>
    </w:p>
    <w:p w14:paraId="4B4B3FCB" w14:textId="0C940AA2" w:rsidR="00010297" w:rsidRPr="002965AE" w:rsidRDefault="00010297" w:rsidP="00AE756E">
      <w:pPr>
        <w:pStyle w:val="ListParagraph"/>
        <w:numPr>
          <w:ilvl w:val="1"/>
          <w:numId w:val="2"/>
        </w:numPr>
        <w:ind w:left="1434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Kauppatavaran alkuperän peittely:</w:t>
      </w:r>
    </w:p>
    <w:p w14:paraId="6C00754C" w14:textId="126AAA8F" w:rsidR="0024053A" w:rsidRPr="00AE756E" w:rsidRDefault="0024053A" w:rsidP="00AE756E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tuotetunnuksen </w:t>
      </w:r>
      <w:r>
        <w:rPr>
          <w:rFonts w:ascii="Times New Roman" w:hAnsi="Times New Roman"/>
          <w:b/>
          <w:bCs/>
        </w:rPr>
        <w:t>muuttaminen</w:t>
      </w:r>
      <w:r>
        <w:rPr>
          <w:rFonts w:ascii="Times New Roman" w:hAnsi="Times New Roman"/>
        </w:rPr>
        <w:t>.</w:t>
      </w:r>
    </w:p>
    <w:p w14:paraId="211DED05" w14:textId="77777777" w:rsidR="00AE756E" w:rsidRPr="002965AE" w:rsidRDefault="00AE756E" w:rsidP="00AE756E">
      <w:pPr>
        <w:pStyle w:val="ListParagraph"/>
        <w:ind w:left="2160"/>
        <w:rPr>
          <w:rFonts w:ascii="Times New Roman" w:hAnsi="Times New Roman" w:cs="Times New Roman"/>
        </w:rPr>
      </w:pPr>
    </w:p>
    <w:p w14:paraId="20DB38D9" w14:textId="7B03D528" w:rsidR="00010297" w:rsidRPr="002965AE" w:rsidRDefault="00010297" w:rsidP="00B203D4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 </w:t>
      </w:r>
      <w:r w:rsidR="00AE756E">
        <w:rPr>
          <w:rFonts w:ascii="Times New Roman" w:hAnsi="Times New Roman"/>
          <w:b/>
          <w:bCs/>
        </w:rPr>
        <w:t>Toimialaan liittyvät varoitusmerkit</w:t>
      </w:r>
      <w:r>
        <w:rPr>
          <w:rFonts w:ascii="Times New Roman" w:hAnsi="Times New Roman"/>
        </w:rPr>
        <w:t xml:space="preserve">: </w:t>
      </w:r>
    </w:p>
    <w:p w14:paraId="1520981A" w14:textId="574E9F04" w:rsidR="00010297" w:rsidRPr="002965AE" w:rsidRDefault="00AE756E" w:rsidP="00B203D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Kuljetusala, logistiikka:</w:t>
      </w:r>
    </w:p>
    <w:p w14:paraId="1BE7D9B8" w14:textId="2B02AFD0" w:rsidR="00AE2BB6" w:rsidRPr="002965AE" w:rsidRDefault="00B203D4" w:rsidP="00B203D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</w:t>
      </w:r>
      <w:r w:rsidR="00AE2BB6">
        <w:rPr>
          <w:rFonts w:ascii="Times New Roman" w:hAnsi="Times New Roman"/>
        </w:rPr>
        <w:t xml:space="preserve">avarat ostava asiakas on </w:t>
      </w:r>
      <w:r w:rsidR="00AE2BB6">
        <w:rPr>
          <w:rFonts w:ascii="Times New Roman" w:hAnsi="Times New Roman"/>
          <w:b/>
          <w:bCs/>
        </w:rPr>
        <w:t>rekisteröity äskettäin</w:t>
      </w:r>
    </w:p>
    <w:p w14:paraId="70892AB7" w14:textId="50272721" w:rsidR="00AE2BB6" w:rsidRPr="002965AE" w:rsidRDefault="00B203D4" w:rsidP="00B203D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</w:t>
      </w:r>
      <w:r w:rsidR="00AE2BB6">
        <w:rPr>
          <w:rFonts w:ascii="Times New Roman" w:hAnsi="Times New Roman"/>
        </w:rPr>
        <w:t xml:space="preserve">siakkaan toiminta </w:t>
      </w:r>
      <w:r w:rsidR="00AE2BB6">
        <w:rPr>
          <w:rFonts w:ascii="Times New Roman" w:hAnsi="Times New Roman"/>
          <w:b/>
          <w:bCs/>
        </w:rPr>
        <w:t>ei vastaa</w:t>
      </w:r>
      <w:r w:rsidR="00AE2BB6">
        <w:rPr>
          <w:rFonts w:ascii="Times New Roman" w:hAnsi="Times New Roman"/>
        </w:rPr>
        <w:t xml:space="preserve"> ostetun tuotteen luokkaa</w:t>
      </w:r>
    </w:p>
    <w:p w14:paraId="38140187" w14:textId="05A1256E" w:rsidR="00AE2BB6" w:rsidRPr="002965AE" w:rsidRDefault="00B203D4" w:rsidP="00B203D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</w:t>
      </w:r>
      <w:r w:rsidR="00AE2BB6">
        <w:rPr>
          <w:rFonts w:ascii="Times New Roman" w:hAnsi="Times New Roman"/>
        </w:rPr>
        <w:t>avarat kuljetetaan epäjohdonmukaista (pidempää tai epätavallista) reittiä pitkin</w:t>
      </w:r>
    </w:p>
    <w:p w14:paraId="172FD1D3" w14:textId="4A54A5AB" w:rsidR="00AE2BB6" w:rsidRPr="002965AE" w:rsidRDefault="00B203D4" w:rsidP="00B203D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</w:t>
      </w:r>
      <w:r w:rsidR="0058458B">
        <w:rPr>
          <w:rFonts w:ascii="Times New Roman" w:hAnsi="Times New Roman"/>
        </w:rPr>
        <w:t xml:space="preserve">siakkaalla oli ennen 24. helmikuuta 2022 liikesuhteita nyt </w:t>
      </w:r>
      <w:r w:rsidR="0058458B">
        <w:rPr>
          <w:rFonts w:ascii="Times New Roman" w:hAnsi="Times New Roman"/>
          <w:b/>
          <w:bCs/>
        </w:rPr>
        <w:t>nimettyjen</w:t>
      </w:r>
      <w:r w:rsidR="0058458B">
        <w:rPr>
          <w:rFonts w:ascii="Times New Roman" w:hAnsi="Times New Roman"/>
        </w:rPr>
        <w:t xml:space="preserve"> henkilöiden tai yhteisöjen kanssa ja/tai kaupankäyntiä, johon liittyy tuotteita, joilla on tällä hetkellä </w:t>
      </w:r>
      <w:r w:rsidR="0058458B">
        <w:rPr>
          <w:rFonts w:ascii="Times New Roman" w:hAnsi="Times New Roman"/>
          <w:b/>
          <w:bCs/>
        </w:rPr>
        <w:t>vientirajoituksia</w:t>
      </w:r>
    </w:p>
    <w:p w14:paraId="4A6A5FAD" w14:textId="2242FE3B" w:rsidR="0058458B" w:rsidRPr="002965AE" w:rsidRDefault="00B203D4" w:rsidP="00B203D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A</w:t>
      </w:r>
      <w:r w:rsidR="0058458B">
        <w:rPr>
          <w:rFonts w:ascii="Times New Roman" w:hAnsi="Times New Roman"/>
        </w:rPr>
        <w:t xml:space="preserve">siakas antaa </w:t>
      </w:r>
      <w:r w:rsidR="0058458B">
        <w:rPr>
          <w:rFonts w:ascii="Times New Roman" w:hAnsi="Times New Roman"/>
          <w:b/>
          <w:bCs/>
        </w:rPr>
        <w:t>puutteellista tietoa</w:t>
      </w:r>
      <w:r w:rsidR="0058458B">
        <w:rPr>
          <w:rFonts w:ascii="Times New Roman" w:hAnsi="Times New Roman"/>
        </w:rPr>
        <w:t xml:space="preserve"> tuotteen loppukäyttäjästä ja/tai loppukäytöstä eikä anna lisätietoja kysyttäessä</w:t>
      </w:r>
    </w:p>
    <w:p w14:paraId="08B0E1C7" w14:textId="080D8DBA" w:rsidR="0058458B" w:rsidRPr="002965AE" w:rsidRDefault="00B203D4" w:rsidP="00B203D4">
      <w:pPr>
        <w:pStyle w:val="ListParagraph"/>
        <w:numPr>
          <w:ilvl w:val="2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</w:t>
      </w:r>
      <w:r w:rsidR="0058458B">
        <w:rPr>
          <w:rFonts w:ascii="Times New Roman" w:hAnsi="Times New Roman"/>
        </w:rPr>
        <w:t xml:space="preserve">avaroiden kuvaus kauppa-/rahoitusasiakirjoissa on </w:t>
      </w:r>
      <w:r w:rsidR="0058458B">
        <w:rPr>
          <w:rFonts w:ascii="Times New Roman" w:hAnsi="Times New Roman"/>
          <w:b/>
          <w:bCs/>
        </w:rPr>
        <w:t>epämääräinen ja harhaanjohtava</w:t>
      </w:r>
      <w:r w:rsidR="0058458B">
        <w:rPr>
          <w:rFonts w:ascii="Times New Roman" w:hAnsi="Times New Roman"/>
        </w:rPr>
        <w:t>.</w:t>
      </w:r>
    </w:p>
    <w:p w14:paraId="1E77EAEC" w14:textId="39EB54FD" w:rsidR="00010297" w:rsidRPr="002965AE" w:rsidRDefault="00010297" w:rsidP="00B203D4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Oikeu</w:t>
      </w:r>
      <w:r w:rsidR="008C5BAE">
        <w:rPr>
          <w:rFonts w:ascii="Times New Roman" w:hAnsi="Times New Roman"/>
        </w:rPr>
        <w:t xml:space="preserve">dellista- </w:t>
      </w:r>
      <w:r>
        <w:rPr>
          <w:rFonts w:ascii="Times New Roman" w:hAnsi="Times New Roman"/>
        </w:rPr>
        <w:t xml:space="preserve"> ja veroneuvontaa tarjoavat yritykset – mahdollisia pakotteiden kiertämisen helpottajia</w:t>
      </w:r>
      <w:r w:rsidR="00B203D4">
        <w:rPr>
          <w:rFonts w:ascii="Times New Roman" w:hAnsi="Times New Roman"/>
        </w:rPr>
        <w:t>. Huomioithan, että pakottei</w:t>
      </w:r>
      <w:r w:rsidR="008C5BAE">
        <w:rPr>
          <w:rFonts w:ascii="Times New Roman" w:hAnsi="Times New Roman"/>
        </w:rPr>
        <w:t xml:space="preserve">den noudattamiseen </w:t>
      </w:r>
      <w:r w:rsidR="00B203D4">
        <w:rPr>
          <w:rFonts w:ascii="Times New Roman" w:hAnsi="Times New Roman"/>
        </w:rPr>
        <w:t xml:space="preserve">liittyvä neuvonta on usein tarpeen, mutta </w:t>
      </w:r>
      <w:r>
        <w:rPr>
          <w:rFonts w:ascii="Times New Roman" w:hAnsi="Times New Roman"/>
        </w:rPr>
        <w:t xml:space="preserve">pakotteiden noudattamista koskevasta lainopillisesta neuvonnasta </w:t>
      </w:r>
      <w:r w:rsidR="00196850">
        <w:rPr>
          <w:rFonts w:ascii="Times New Roman" w:hAnsi="Times New Roman"/>
        </w:rPr>
        <w:t xml:space="preserve">voi olla </w:t>
      </w:r>
      <w:r>
        <w:rPr>
          <w:rFonts w:ascii="Times New Roman" w:hAnsi="Times New Roman"/>
        </w:rPr>
        <w:t>lyhyt matka pakotteiden kiertämisessä avustamiseen.</w:t>
      </w:r>
    </w:p>
    <w:p w14:paraId="797C3287" w14:textId="1AC9EEB2" w:rsidR="00010297" w:rsidRPr="00AE756E" w:rsidRDefault="00AE756E" w:rsidP="00AE756E">
      <w:pPr>
        <w:pStyle w:val="ListParagraph"/>
        <w:numPr>
          <w:ilvl w:val="1"/>
          <w:numId w:val="2"/>
        </w:numPr>
        <w:rPr>
          <w:rFonts w:ascii="Times New Roman" w:hAnsi="Times New Roman" w:cs="Times New Roman"/>
        </w:rPr>
      </w:pPr>
      <w:r w:rsidRPr="00AE756E">
        <w:rPr>
          <w:rFonts w:ascii="Times New Roman" w:hAnsi="Times New Roman"/>
        </w:rPr>
        <w:t>Energia -, ilmailu -, elektroniikka - ja muut kehittyneet teknologia</w:t>
      </w:r>
      <w:r>
        <w:rPr>
          <w:rFonts w:ascii="Times New Roman" w:hAnsi="Times New Roman"/>
        </w:rPr>
        <w:t>-</w:t>
      </w:r>
      <w:r w:rsidRPr="00AE756E">
        <w:rPr>
          <w:rFonts w:ascii="Times New Roman" w:hAnsi="Times New Roman"/>
        </w:rPr>
        <w:t xml:space="preserve">alat – </w:t>
      </w:r>
      <w:proofErr w:type="gramStart"/>
      <w:r w:rsidRPr="00AE756E">
        <w:rPr>
          <w:rFonts w:ascii="Times New Roman" w:hAnsi="Times New Roman"/>
        </w:rPr>
        <w:t>kiinnit</w:t>
      </w:r>
      <w:r>
        <w:rPr>
          <w:rFonts w:ascii="Times New Roman" w:hAnsi="Times New Roman"/>
        </w:rPr>
        <w:t xml:space="preserve">äthän </w:t>
      </w:r>
      <w:r w:rsidRPr="00AE756E">
        <w:rPr>
          <w:rFonts w:ascii="Times New Roman" w:hAnsi="Times New Roman"/>
        </w:rPr>
        <w:t xml:space="preserve"> huomiota</w:t>
      </w:r>
      <w:proofErr w:type="gramEnd"/>
      <w:r w:rsidRPr="00AE756E">
        <w:rPr>
          <w:rFonts w:ascii="Times New Roman" w:hAnsi="Times New Roman"/>
        </w:rPr>
        <w:t xml:space="preserve"> kuljetusyrityksiin ja kauttakulkusatamiin sekä tuotteisiin, joihin kohdistuu välitön riski ja joita käytetään sotilaallisiin tarkoituksiin Venäjällä.</w:t>
      </w:r>
      <w:r>
        <w:rPr>
          <w:rFonts w:ascii="Times New Roman" w:hAnsi="Times New Roman"/>
        </w:rPr>
        <w:t xml:space="preserve"> </w:t>
      </w:r>
    </w:p>
    <w:p w14:paraId="4FD6F5E9" w14:textId="77777777" w:rsidR="00AE756E" w:rsidRPr="002965AE" w:rsidRDefault="00AE756E" w:rsidP="00AE756E">
      <w:pPr>
        <w:pStyle w:val="ListParagraph"/>
        <w:ind w:left="1440"/>
        <w:rPr>
          <w:rFonts w:ascii="Times New Roman" w:hAnsi="Times New Roman" w:cs="Times New Roman"/>
        </w:rPr>
      </w:pPr>
    </w:p>
    <w:p w14:paraId="1EBA6007" w14:textId="4D8922E8" w:rsidR="00010297" w:rsidRPr="0060502D" w:rsidRDefault="00010297" w:rsidP="0053497D">
      <w:pPr>
        <w:pStyle w:val="ListParagraph"/>
        <w:numPr>
          <w:ilvl w:val="0"/>
          <w:numId w:val="2"/>
        </w:numPr>
        <w:contextualSpacing w:val="0"/>
        <w:rPr>
          <w:rFonts w:ascii="Times New Roman" w:hAnsi="Times New Roman" w:cs="Times New Roman"/>
          <w:b/>
        </w:rPr>
      </w:pPr>
      <w:r w:rsidRPr="00B203D4">
        <w:rPr>
          <w:rFonts w:ascii="Times New Roman" w:hAnsi="Times New Roman"/>
          <w:b/>
        </w:rPr>
        <w:t>Tyypilliset varoitusmerkit rahanpesusta</w:t>
      </w:r>
      <w:r w:rsidR="00AE756E">
        <w:rPr>
          <w:rFonts w:ascii="Times New Roman" w:hAnsi="Times New Roman"/>
        </w:rPr>
        <w:t xml:space="preserve"> (katso</w:t>
      </w:r>
      <w:r>
        <w:rPr>
          <w:rFonts w:ascii="Times New Roman" w:hAnsi="Times New Roman"/>
        </w:rPr>
        <w:t xml:space="preserve"> www.rahanpesu.fi) </w:t>
      </w:r>
    </w:p>
    <w:p w14:paraId="0C2E4949" w14:textId="77777777" w:rsidR="00E133F9" w:rsidRPr="00DB60A0" w:rsidRDefault="00E133F9" w:rsidP="0053497D">
      <w:pPr>
        <w:jc w:val="both"/>
        <w:rPr>
          <w:rFonts w:ascii="Times New Roman" w:hAnsi="Times New Roman" w:cs="Times New Roman"/>
          <w:b/>
        </w:rPr>
      </w:pPr>
    </w:p>
    <w:p w14:paraId="6BE5E0C2" w14:textId="77777777" w:rsidR="00AE756E" w:rsidRDefault="00AE756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br w:type="page"/>
      </w:r>
    </w:p>
    <w:p w14:paraId="46DCB680" w14:textId="6C53F4DE" w:rsidR="00670324" w:rsidRPr="00B203D4" w:rsidRDefault="00C00331" w:rsidP="00B203D4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</w:rPr>
      </w:pPr>
      <w:r w:rsidRPr="00B203D4">
        <w:rPr>
          <w:rFonts w:ascii="Times New Roman" w:hAnsi="Times New Roman"/>
          <w:b/>
        </w:rPr>
        <w:t>Asianmukaista huolellisuutta koskev</w:t>
      </w:r>
      <w:r w:rsidR="00AD3A23">
        <w:rPr>
          <w:rFonts w:ascii="Times New Roman" w:hAnsi="Times New Roman"/>
          <w:b/>
        </w:rPr>
        <w:t>ia</w:t>
      </w:r>
      <w:r w:rsidRPr="00B203D4">
        <w:rPr>
          <w:rFonts w:ascii="Times New Roman" w:hAnsi="Times New Roman"/>
          <w:b/>
        </w:rPr>
        <w:t xml:space="preserve"> käytännön ohje</w:t>
      </w:r>
      <w:r w:rsidR="00AD3A23">
        <w:rPr>
          <w:rFonts w:ascii="Times New Roman" w:hAnsi="Times New Roman"/>
          <w:b/>
        </w:rPr>
        <w:t>ita</w:t>
      </w:r>
      <w:r w:rsidRPr="00B203D4">
        <w:rPr>
          <w:rFonts w:ascii="Times New Roman" w:hAnsi="Times New Roman"/>
          <w:b/>
        </w:rPr>
        <w:t xml:space="preserve"> yrityksille, kun arvioidaan pakotteiden kiertämisen riskiä </w:t>
      </w:r>
    </w:p>
    <w:p w14:paraId="6CDBB5E6" w14:textId="30B5F884" w:rsidR="000E3FE7" w:rsidRDefault="000E3FE7" w:rsidP="00AE756E">
      <w:pPr>
        <w:spacing w:after="240" w:line="240" w:lineRule="auto"/>
        <w:jc w:val="both"/>
        <w:rPr>
          <w:rFonts w:ascii="Times New Roman" w:hAnsi="Times New Roman"/>
          <w:b/>
        </w:rPr>
      </w:pPr>
      <w:r w:rsidRPr="00ED0B85">
        <w:t xml:space="preserve">Tämän osuuden laadinnassa on hyödynnetty </w:t>
      </w:r>
      <w:r w:rsidR="00AE756E">
        <w:t>komission Usein kysytyt kysymykset ja vastaukset –asiakirjaa koskien Iran-pakotteiden toimeenpanoon liittyvää asianmukaista huolellisuutta EU-yrityksissä j</w:t>
      </w:r>
      <w:r>
        <w:t>a eri viranomaisten havaintoja pakotteiden kiertämisestä.</w:t>
      </w:r>
      <w:r w:rsidRPr="000E3FE7">
        <w:rPr>
          <w:rStyle w:val="FootnoteReference"/>
          <w:rFonts w:ascii="Times New Roman" w:hAnsi="Times New Roman"/>
          <w:b/>
        </w:rPr>
        <w:t xml:space="preserve"> </w:t>
      </w:r>
      <w:r w:rsidRPr="00A552B9">
        <w:rPr>
          <w:rStyle w:val="FootnoteReference"/>
          <w:rFonts w:ascii="Times New Roman" w:hAnsi="Times New Roman"/>
        </w:rPr>
        <w:footnoteReference w:id="4"/>
      </w:r>
    </w:p>
    <w:p w14:paraId="0C6247EE" w14:textId="270D75ED" w:rsidR="00987F65" w:rsidRPr="002965AE" w:rsidRDefault="00FE681E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Varmista, että keräät asiakkaasta </w:t>
      </w:r>
      <w:r w:rsidR="00987F65">
        <w:rPr>
          <w:rFonts w:ascii="Times New Roman" w:hAnsi="Times New Roman"/>
          <w:b/>
        </w:rPr>
        <w:t>vähintään seuraavat perustason tiedot:</w:t>
      </w:r>
    </w:p>
    <w:p w14:paraId="5F566A6D" w14:textId="2B694736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yhteisön koko nimi </w:t>
      </w:r>
    </w:p>
    <w:p w14:paraId="5565009C" w14:textId="00DDBD5C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oikeudellinen muoto (pörssilistattu, osakeyhtiö, yksityinen osakeyhtiö jne.) </w:t>
      </w:r>
    </w:p>
    <w:p w14:paraId="580A371A" w14:textId="55B6249F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yritystunnus</w:t>
      </w:r>
    </w:p>
    <w:p w14:paraId="07DBC947" w14:textId="47A7DC6D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yksityinen vai valtio-omisteinen</w:t>
      </w:r>
    </w:p>
    <w:p w14:paraId="2DF0AF85" w14:textId="0DC01FC9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pääyhteyshenkilö, osoite, puhelinnumero ja verkko-osoite </w:t>
      </w:r>
    </w:p>
    <w:p w14:paraId="7D7BE5A6" w14:textId="1E9021DC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johdon koko nimet, syntymäpaikat ja -ajat, henkilötunnukset, poliittisesti vaikutusvaltaisen henkilön asema </w:t>
      </w:r>
    </w:p>
    <w:p w14:paraId="0131010D" w14:textId="1A6FC579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osakkeenomistajien koko nimet ja osakkeiden määrä, syntymäpaikat ja -ajat, henkilötunnukset, poliittisesti vaikutusvaltaisen henkilön asema </w:t>
      </w:r>
    </w:p>
    <w:p w14:paraId="24E87AE7" w14:textId="4BA59089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 xml:space="preserve">tosiasiallinen omistaja ja edunsaaja (lisätietoa liitteessä I) </w:t>
      </w:r>
    </w:p>
    <w:p w14:paraId="27CE72C1" w14:textId="29A6C444" w:rsidR="00987F65" w:rsidRPr="002965AE" w:rsidRDefault="00987F65" w:rsidP="00B203D4">
      <w:pPr>
        <w:pStyle w:val="ListParagraph"/>
        <w:numPr>
          <w:ilvl w:val="1"/>
          <w:numId w:val="3"/>
        </w:numPr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johdon ja osakkeenomistajien sidokset poliittisesti vaikutusvaltaisiin henkilöihin ja pakotteiden kohteisiin</w:t>
      </w:r>
    </w:p>
    <w:p w14:paraId="508BEC33" w14:textId="78CAE693" w:rsidR="00987F65" w:rsidRPr="00AE756E" w:rsidRDefault="00987F65" w:rsidP="00FC403F">
      <w:pPr>
        <w:pStyle w:val="ListParagraph"/>
        <w:numPr>
          <w:ilvl w:val="1"/>
          <w:numId w:val="3"/>
        </w:numPr>
        <w:spacing w:after="240"/>
        <w:ind w:left="1491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toiminta, tuotteet.</w:t>
      </w:r>
    </w:p>
    <w:p w14:paraId="1FD48270" w14:textId="23B1E5F6" w:rsidR="00987F65" w:rsidRPr="002965AE" w:rsidRDefault="00987F65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Te</w:t>
      </w:r>
      <w:r w:rsidR="00FE681E">
        <w:rPr>
          <w:rFonts w:ascii="Times New Roman" w:hAnsi="Times New Roman"/>
          <w:b/>
        </w:rPr>
        <w:t xml:space="preserve">e pakotteisiin ja </w:t>
      </w:r>
      <w:r>
        <w:rPr>
          <w:rFonts w:ascii="Times New Roman" w:hAnsi="Times New Roman"/>
          <w:b/>
        </w:rPr>
        <w:t>julkisiin lähteisiin perustuv</w:t>
      </w:r>
      <w:r w:rsidR="00FE681E">
        <w:rPr>
          <w:rFonts w:ascii="Times New Roman" w:hAnsi="Times New Roman"/>
          <w:b/>
        </w:rPr>
        <w:t>at t</w:t>
      </w:r>
      <w:r>
        <w:rPr>
          <w:rFonts w:ascii="Times New Roman" w:hAnsi="Times New Roman"/>
          <w:b/>
        </w:rPr>
        <w:t>arkastuks</w:t>
      </w:r>
      <w:r w:rsidR="00FE681E">
        <w:rPr>
          <w:rFonts w:ascii="Times New Roman" w:hAnsi="Times New Roman"/>
          <w:b/>
        </w:rPr>
        <w:t>et</w:t>
      </w:r>
      <w:r>
        <w:rPr>
          <w:rFonts w:ascii="Times New Roman" w:hAnsi="Times New Roman"/>
          <w:b/>
        </w:rPr>
        <w:t xml:space="preserve"> </w:t>
      </w:r>
    </w:p>
    <w:p w14:paraId="08837773" w14:textId="75C86844" w:rsidR="003F7BA3" w:rsidRPr="003F7BA3" w:rsidRDefault="004A3054" w:rsidP="00FE681E">
      <w:pPr>
        <w:pStyle w:val="ListParagraph"/>
        <w:numPr>
          <w:ilvl w:val="1"/>
          <w:numId w:val="3"/>
        </w:numPr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</w:rPr>
        <w:t>P</w:t>
      </w:r>
      <w:r w:rsidR="00FE681E">
        <w:rPr>
          <w:rFonts w:ascii="Times New Roman" w:hAnsi="Times New Roman"/>
          <w:b/>
        </w:rPr>
        <w:t>akotetarkastus:</w:t>
      </w:r>
      <w:r w:rsidR="00FE681E">
        <w:rPr>
          <w:rFonts w:ascii="Times New Roman" w:hAnsi="Times New Roman"/>
          <w:bCs/>
        </w:rPr>
        <w:t xml:space="preserve"> </w:t>
      </w:r>
    </w:p>
    <w:p w14:paraId="20FD9B95" w14:textId="5CA0A535" w:rsidR="003F7BA3" w:rsidRPr="003F7BA3" w:rsidRDefault="004A3054" w:rsidP="00AE756E">
      <w:pPr>
        <w:pStyle w:val="ListParagraph"/>
        <w:numPr>
          <w:ilvl w:val="2"/>
          <w:numId w:val="20"/>
        </w:numPr>
        <w:ind w:left="1882" w:hanging="18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 xml:space="preserve">Tarkasta tavaran tai tuotteen pakotestatus. </w:t>
      </w:r>
    </w:p>
    <w:p w14:paraId="26B799EB" w14:textId="086FA2BA" w:rsidR="003F7BA3" w:rsidRPr="003F7BA3" w:rsidRDefault="003F7BA3" w:rsidP="00AE756E">
      <w:pPr>
        <w:pStyle w:val="ListParagraph"/>
        <w:numPr>
          <w:ilvl w:val="2"/>
          <w:numId w:val="20"/>
        </w:numPr>
        <w:ind w:left="1882" w:hanging="181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Tarka</w:t>
      </w:r>
      <w:r w:rsidR="00712081">
        <w:rPr>
          <w:rFonts w:ascii="Times New Roman" w:hAnsi="Times New Roman"/>
          <w:bCs/>
        </w:rPr>
        <w:t>sta liikekumppanin pakotestatus hakemalla</w:t>
      </w:r>
      <w:r w:rsidR="00FE681E" w:rsidRPr="00AF5213">
        <w:rPr>
          <w:rFonts w:ascii="Times New Roman" w:hAnsi="Times New Roman"/>
          <w:bCs/>
        </w:rPr>
        <w:t xml:space="preserve"> yritystä, </w:t>
      </w:r>
      <w:r>
        <w:rPr>
          <w:rFonts w:ascii="Times New Roman" w:hAnsi="Times New Roman"/>
          <w:bCs/>
        </w:rPr>
        <w:t xml:space="preserve">sen </w:t>
      </w:r>
      <w:r w:rsidR="00FE681E" w:rsidRPr="003F7BA3">
        <w:rPr>
          <w:rFonts w:ascii="Times New Roman" w:hAnsi="Times New Roman"/>
          <w:bCs/>
        </w:rPr>
        <w:t xml:space="preserve">osakkeenomistajia ja johtoa EU:n talouspakotteiden </w:t>
      </w:r>
      <w:proofErr w:type="spellStart"/>
      <w:r w:rsidR="00FE681E" w:rsidRPr="003F7BA3">
        <w:rPr>
          <w:rFonts w:ascii="Times New Roman" w:hAnsi="Times New Roman"/>
          <w:bCs/>
        </w:rPr>
        <w:t>konsolidoidusta</w:t>
      </w:r>
      <w:proofErr w:type="spellEnd"/>
      <w:r w:rsidR="00FE681E" w:rsidRPr="003F7BA3">
        <w:rPr>
          <w:rFonts w:ascii="Times New Roman" w:hAnsi="Times New Roman"/>
          <w:bCs/>
        </w:rPr>
        <w:t xml:space="preserve"> luettelosta ja muista asiaankuuluvista pakoteluetteloista (esim. Yhdysvaltojen SDN-luettelosta).</w:t>
      </w:r>
    </w:p>
    <w:p w14:paraId="5F94856B" w14:textId="05680022" w:rsidR="00FE681E" w:rsidRPr="003F7BA3" w:rsidRDefault="00FE681E" w:rsidP="00AE756E">
      <w:pPr>
        <w:ind w:left="1134"/>
        <w:jc w:val="both"/>
        <w:rPr>
          <w:rFonts w:ascii="Times New Roman" w:hAnsi="Times New Roman" w:cs="Times New Roman"/>
          <w:bCs/>
        </w:rPr>
      </w:pPr>
      <w:r w:rsidRPr="003F7BA3">
        <w:rPr>
          <w:rFonts w:ascii="Times New Roman" w:hAnsi="Times New Roman"/>
          <w:b/>
        </w:rPr>
        <w:t xml:space="preserve">Huomaathan, että yrityksen tulisi tehdä pakotetarkastus varmistaakseen, että yritys noudattaa pakotteita. </w:t>
      </w:r>
    </w:p>
    <w:p w14:paraId="116F81EB" w14:textId="08497D13" w:rsidR="00D66C03" w:rsidRPr="002965AE" w:rsidRDefault="00D66C03" w:rsidP="00AE756E">
      <w:pPr>
        <w:pStyle w:val="ListParagraph"/>
        <w:numPr>
          <w:ilvl w:val="1"/>
          <w:numId w:val="3"/>
        </w:numPr>
        <w:ind w:left="1491" w:hanging="357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</w:rPr>
        <w:t>Julkisiin lähteisiin perustuva tiedonhaku</w:t>
      </w:r>
      <w:r>
        <w:rPr>
          <w:rFonts w:ascii="Times New Roman" w:hAnsi="Times New Roman"/>
        </w:rPr>
        <w:t>: haku yrityksen verkkosivustolta, uutisista, verkosta.</w:t>
      </w:r>
      <w:r>
        <w:rPr>
          <w:rFonts w:ascii="Times New Roman" w:hAnsi="Times New Roman"/>
          <w:bCs/>
        </w:rPr>
        <w:t xml:space="preserve"> Tiedotusvälineiden tietokantoihin ja yleisiin tiedotusvälineisiin tulisi tutustua, jotta void</w:t>
      </w:r>
      <w:r w:rsidR="00FE681E">
        <w:rPr>
          <w:rFonts w:ascii="Times New Roman" w:hAnsi="Times New Roman"/>
          <w:bCs/>
        </w:rPr>
        <w:t>aan havaita seuraaviin asioihin</w:t>
      </w:r>
      <w:r>
        <w:rPr>
          <w:rFonts w:ascii="Times New Roman" w:hAnsi="Times New Roman"/>
          <w:bCs/>
        </w:rPr>
        <w:t xml:space="preserve"> liittyvät tiedot:</w:t>
      </w:r>
    </w:p>
    <w:p w14:paraId="5D6A60F0" w14:textId="41F039A8" w:rsidR="00D66C03" w:rsidRPr="002965AE" w:rsidRDefault="00FE681E" w:rsidP="00FE681E">
      <w:pPr>
        <w:pStyle w:val="ListParagraph"/>
        <w:numPr>
          <w:ilvl w:val="2"/>
          <w:numId w:val="3"/>
        </w:numPr>
        <w:ind w:hanging="181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Y</w:t>
      </w:r>
      <w:r w:rsidR="00D66C03">
        <w:rPr>
          <w:rFonts w:ascii="Times New Roman" w:hAnsi="Times New Roman"/>
          <w:bCs/>
        </w:rPr>
        <w:t xml:space="preserve">hteys terrorismin rahoitukseen tai terroritoimiin </w:t>
      </w:r>
    </w:p>
    <w:p w14:paraId="1DBF20F9" w14:textId="41D3BFDC" w:rsidR="00D66C03" w:rsidRPr="002965AE" w:rsidRDefault="00FE681E" w:rsidP="00FE681E">
      <w:pPr>
        <w:pStyle w:val="ListParagraph"/>
        <w:numPr>
          <w:ilvl w:val="2"/>
          <w:numId w:val="3"/>
        </w:numPr>
        <w:ind w:hanging="181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Y</w:t>
      </w:r>
      <w:r w:rsidR="00D66C03">
        <w:rPr>
          <w:rFonts w:ascii="Times New Roman" w:hAnsi="Times New Roman"/>
          <w:bCs/>
        </w:rPr>
        <w:t>hteydet järjestäytyneeseen rikollisuuteen tai asekauppaan</w:t>
      </w:r>
    </w:p>
    <w:p w14:paraId="7BBEDEEB" w14:textId="4AA33F53" w:rsidR="00D66C03" w:rsidRPr="002965AE" w:rsidRDefault="00FE681E" w:rsidP="00FE681E">
      <w:pPr>
        <w:pStyle w:val="ListParagraph"/>
        <w:numPr>
          <w:ilvl w:val="2"/>
          <w:numId w:val="3"/>
        </w:numPr>
        <w:ind w:hanging="181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R</w:t>
      </w:r>
      <w:r w:rsidR="00D66C03">
        <w:rPr>
          <w:rFonts w:ascii="Times New Roman" w:hAnsi="Times New Roman"/>
          <w:bCs/>
        </w:rPr>
        <w:t>ahanpesu</w:t>
      </w:r>
    </w:p>
    <w:p w14:paraId="35A8E157" w14:textId="29FF8FE7" w:rsidR="00D66C03" w:rsidRPr="002965AE" w:rsidRDefault="00FE681E" w:rsidP="00FE681E">
      <w:pPr>
        <w:pStyle w:val="ListParagraph"/>
        <w:numPr>
          <w:ilvl w:val="2"/>
          <w:numId w:val="3"/>
        </w:numPr>
        <w:ind w:hanging="181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Sä</w:t>
      </w:r>
      <w:r w:rsidR="00D66C03">
        <w:rPr>
          <w:rFonts w:ascii="Times New Roman" w:hAnsi="Times New Roman"/>
          <w:bCs/>
        </w:rPr>
        <w:t>äntömääräiset tutkimukset ja olennaiset riita-asiat</w:t>
      </w:r>
    </w:p>
    <w:p w14:paraId="59456CA9" w14:textId="5B164B22" w:rsidR="00D66C03" w:rsidRPr="002965AE" w:rsidRDefault="00FE681E" w:rsidP="00FE681E">
      <w:pPr>
        <w:pStyle w:val="ListParagraph"/>
        <w:numPr>
          <w:ilvl w:val="2"/>
          <w:numId w:val="3"/>
        </w:numPr>
        <w:ind w:hanging="181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V</w:t>
      </w:r>
      <w:r w:rsidR="00D66C03">
        <w:rPr>
          <w:rFonts w:ascii="Times New Roman" w:hAnsi="Times New Roman"/>
          <w:bCs/>
        </w:rPr>
        <w:t>äitteet osallisuudesta lahjontaan ja korruptioon ja/tai</w:t>
      </w:r>
    </w:p>
    <w:p w14:paraId="251EF6E4" w14:textId="0D7B4767" w:rsidR="00987F65" w:rsidRPr="002965AE" w:rsidRDefault="00FE681E" w:rsidP="00FC403F">
      <w:pPr>
        <w:pStyle w:val="ListParagraph"/>
        <w:numPr>
          <w:ilvl w:val="2"/>
          <w:numId w:val="3"/>
        </w:numPr>
        <w:spacing w:after="240"/>
        <w:ind w:hanging="181"/>
        <w:contextualSpacing w:val="0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S</w:t>
      </w:r>
      <w:r w:rsidR="00D66C03">
        <w:rPr>
          <w:rFonts w:ascii="Times New Roman" w:hAnsi="Times New Roman"/>
          <w:bCs/>
        </w:rPr>
        <w:t>ääntömääräiset tutkimukset tai pakotteet.</w:t>
      </w:r>
    </w:p>
    <w:p w14:paraId="537C8915" w14:textId="07526B5D" w:rsidR="00F22C22" w:rsidRPr="002965AE" w:rsidRDefault="00FE681E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Tarkista seuraavien kysymysten avulla</w:t>
      </w:r>
      <w:r w:rsidR="00734FB1">
        <w:rPr>
          <w:rFonts w:ascii="Times New Roman" w:hAnsi="Times New Roman"/>
          <w:b/>
        </w:rPr>
        <w:t xml:space="preserve"> tunnetko todella liikekumppanisi sekä tavaroiden ja teknologioiden määränpään: </w:t>
      </w:r>
    </w:p>
    <w:p w14:paraId="3D725B12" w14:textId="7FED8002" w:rsidR="00B71F6A" w:rsidRPr="00FE681E" w:rsidRDefault="00DD3E73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Tunnetko nykyiset ja tulevat liikekumppanisi (asiakkaan tuntemisvelvoitteen noudattaminen), niiden taustat ja omistusketjut sekä sen, kenellä on niissä määräysvalta ja kuka niitä johtaa? </w:t>
      </w:r>
    </w:p>
    <w:p w14:paraId="5554D9E4" w14:textId="71A0BCB3" w:rsidR="00FE681E" w:rsidRPr="002965AE" w:rsidRDefault="00FE681E" w:rsidP="00C94257">
      <w:pPr>
        <w:pStyle w:val="ListParagraph"/>
        <w:spacing w:line="240" w:lineRule="auto"/>
        <w:ind w:left="144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Katso Liitteestä I lisätietoja koskien o</w:t>
      </w:r>
      <w:bookmarkStart w:id="0" w:name="_GoBack"/>
      <w:bookmarkEnd w:id="0"/>
      <w:r>
        <w:rPr>
          <w:rFonts w:ascii="Times New Roman" w:hAnsi="Times New Roman"/>
        </w:rPr>
        <w:t xml:space="preserve">mistusta ja määräysvaltaa. </w:t>
      </w:r>
    </w:p>
    <w:p w14:paraId="5EA44D8A" w14:textId="21FFBE9E" w:rsidR="00670324" w:rsidRPr="002965AE" w:rsidRDefault="00670324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Toimiiko asiakkaasi/liikekumppanisi ketjussa, jossa omistusketjun jäljittäminen tosiasialliseen omistajaan ja edunsaajaan on monimutkaista? </w:t>
      </w:r>
    </w:p>
    <w:p w14:paraId="6BA3C4C4" w14:textId="19F9F48C" w:rsidR="00DD3E73" w:rsidRPr="002965AE" w:rsidRDefault="00DD3E73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Tunnetko niiden liiketoiminnan ja mahdolliset muutokset liiketoimintaprofiilissa? Onko kumppanilla yhteyksiä poliittisesti vaikutusvaltaisiin henkilöihin tai pakotteiden kohteena oleviin henkilöihin tai yhteisöihin tai onko yhteyksiä ollut?</w:t>
      </w:r>
    </w:p>
    <w:p w14:paraId="0F150FD8" w14:textId="5B3F073E" w:rsidR="007A6740" w:rsidRPr="002965AE" w:rsidRDefault="00F22C22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Jos kyse on uudesta liikekumppanista, mikä on uuden liikesuhteen syy?</w:t>
      </w:r>
    </w:p>
    <w:p w14:paraId="24752F5F" w14:textId="73153F1B" w:rsidR="00B71F6A" w:rsidRPr="002965AE" w:rsidRDefault="00B71F6A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uudella liikekumppanilla fyysinen toimipaikka ja yleisölle tarkoitettu verkkosivusto?</w:t>
      </w:r>
    </w:p>
    <w:p w14:paraId="2256ADFE" w14:textId="390AE67F" w:rsidR="00B71F6A" w:rsidRPr="002965AE" w:rsidRDefault="00B71F6A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asiakkaan liiketoiminta-alue tilattujen/toimitettujen tavaroiden ja teknologian mukainen?</w:t>
      </w:r>
    </w:p>
    <w:p w14:paraId="04C080C1" w14:textId="1C05B0CA" w:rsidR="00F22C22" w:rsidRPr="002965AE" w:rsidRDefault="00F22C22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Miten uskottavaa vietyjen tavaroiden tai teknologioiden loppukäyttö on, kun otetaan huomioon liiketoimintaprofiili ja yrityksen hankkeet? Pystyykö yritys antamaan riittävästi asiakirjoja loppukäytön todistamiseksi?</w:t>
      </w:r>
    </w:p>
    <w:p w14:paraId="3D30E313" w14:textId="462D1C6C" w:rsidR="00670324" w:rsidRPr="002965AE" w:rsidRDefault="00670324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Mistä tuotteet/teknologiat, joita liikekumppanisi tarjoaa/myy, on hankittu?</w:t>
      </w:r>
    </w:p>
    <w:p w14:paraId="22FD46F4" w14:textId="2F4BA170" w:rsidR="00670324" w:rsidRPr="002965AE" w:rsidRDefault="00670324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Miten asianomaiset tavarat/teknologiat kuljetetaan? Mitä reittejä aiotaan käyttää?</w:t>
      </w:r>
    </w:p>
    <w:p w14:paraId="68180ECE" w14:textId="779B4444" w:rsidR="00DD3E73" w:rsidRPr="002965AE" w:rsidRDefault="00670324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Antoiko asiakas/liikekumppani kirjallisia asiakirjoja yrityksen taustasta ja liiketoimintatapauksesta? </w:t>
      </w:r>
    </w:p>
    <w:p w14:paraId="36A30809" w14:textId="7ACFDC11" w:rsidR="00670324" w:rsidRPr="00FE681E" w:rsidRDefault="00670324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Käykö asiakas kauppaa tavaroilla/teknologioilla, joille on määrätty vienti-/tuontirajoituksia?</w:t>
      </w:r>
    </w:p>
    <w:p w14:paraId="133A5FE1" w14:textId="35B97EC9" w:rsidR="00FE681E" w:rsidRPr="002965AE" w:rsidRDefault="00FE681E" w:rsidP="00C94257">
      <w:pPr>
        <w:pStyle w:val="ListParagraph"/>
        <w:numPr>
          <w:ilvl w:val="1"/>
          <w:numId w:val="3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Onko asiakkaan tilaamien tuotteiden määrä noussut viime aikoina siten, ettei se vastaa tiedettyä/tavanomaista loppukäyttäjätarvetta/liiketoimintaa?</w:t>
      </w:r>
    </w:p>
    <w:p w14:paraId="454C370F" w14:textId="648140B3" w:rsidR="00987F65" w:rsidRPr="0060502D" w:rsidRDefault="00670324" w:rsidP="00C94257">
      <w:pPr>
        <w:pStyle w:val="ListParagraph"/>
        <w:numPr>
          <w:ilvl w:val="1"/>
          <w:numId w:val="3"/>
        </w:numPr>
        <w:spacing w:after="360" w:line="240" w:lineRule="auto"/>
        <w:ind w:left="1491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</w:rPr>
        <w:t>Onko kolmansiin maihin vietyjen tavaroiden/teknologioiden lopullinen loppukäyttö logistiikkavarasto?</w:t>
      </w:r>
    </w:p>
    <w:p w14:paraId="224BDBC7" w14:textId="5F76F1E4" w:rsidR="00B942D0" w:rsidRPr="002965AE" w:rsidRDefault="00B942D0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K</w:t>
      </w:r>
      <w:r w:rsidR="006F65D8">
        <w:rPr>
          <w:rFonts w:ascii="Times New Roman" w:hAnsi="Times New Roman"/>
          <w:b/>
        </w:rPr>
        <w:t xml:space="preserve">äytä julkisia rekistereitä kerättyjen tietojen todentamiseksi: </w:t>
      </w:r>
    </w:p>
    <w:p w14:paraId="0DA01555" w14:textId="2E115BA8" w:rsidR="000E07DC" w:rsidRPr="00FE681E" w:rsidRDefault="00AD3A23" w:rsidP="00C94257">
      <w:pPr>
        <w:pStyle w:val="ListParagraph"/>
        <w:numPr>
          <w:ilvl w:val="1"/>
          <w:numId w:val="3"/>
        </w:numPr>
        <w:spacing w:line="240" w:lineRule="auto"/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V</w:t>
      </w:r>
      <w:r w:rsidR="000E07DC">
        <w:rPr>
          <w:rFonts w:ascii="Times New Roman" w:hAnsi="Times New Roman"/>
          <w:bCs/>
        </w:rPr>
        <w:t>iralli</w:t>
      </w:r>
      <w:r w:rsidR="00FE681E">
        <w:rPr>
          <w:rFonts w:ascii="Times New Roman" w:hAnsi="Times New Roman"/>
          <w:bCs/>
        </w:rPr>
        <w:t xml:space="preserve">set yritysrekisterit jäsenmaissa ja kolmansissa maissa </w:t>
      </w:r>
    </w:p>
    <w:p w14:paraId="725E7B91" w14:textId="045530C0" w:rsidR="00FE681E" w:rsidRPr="00FE681E" w:rsidRDefault="00FE681E" w:rsidP="00C94257">
      <w:pPr>
        <w:pStyle w:val="ListParagraph"/>
        <w:numPr>
          <w:ilvl w:val="1"/>
          <w:numId w:val="3"/>
        </w:numPr>
        <w:spacing w:line="240" w:lineRule="auto"/>
        <w:ind w:left="1434" w:hanging="357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Todellisen edunsaajan rekisterit (jos soveltuu)</w:t>
      </w:r>
    </w:p>
    <w:p w14:paraId="533BF2E4" w14:textId="6CF17493" w:rsidR="00FE681E" w:rsidRPr="0060502D" w:rsidRDefault="00FE681E" w:rsidP="00C94257">
      <w:pPr>
        <w:pStyle w:val="ListParagraph"/>
        <w:numPr>
          <w:ilvl w:val="1"/>
          <w:numId w:val="3"/>
        </w:numPr>
        <w:spacing w:after="360" w:line="240" w:lineRule="auto"/>
        <w:ind w:left="1434" w:hanging="357"/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Cs/>
        </w:rPr>
        <w:t>Muut mahdolliset rekisterit (maarekisteri, verorekisteri, julkisten hankintojen rekisteri jne.)</w:t>
      </w:r>
    </w:p>
    <w:p w14:paraId="67242DEC" w14:textId="2375B18F" w:rsidR="00734FB1" w:rsidRPr="002965AE" w:rsidRDefault="006F65D8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Hyödynnä o</w:t>
      </w:r>
      <w:r w:rsidR="00FC403F">
        <w:rPr>
          <w:rFonts w:ascii="Times New Roman" w:hAnsi="Times New Roman"/>
          <w:b/>
        </w:rPr>
        <w:t>mia</w:t>
      </w:r>
      <w:r w:rsidR="00734FB1">
        <w:rPr>
          <w:rFonts w:ascii="Times New Roman" w:hAnsi="Times New Roman"/>
          <w:b/>
        </w:rPr>
        <w:t xml:space="preserve"> verkostoj</w:t>
      </w:r>
      <w:r>
        <w:rPr>
          <w:rFonts w:ascii="Times New Roman" w:hAnsi="Times New Roman"/>
          <w:b/>
        </w:rPr>
        <w:t xml:space="preserve">asi hankkiaksesi lisätietoja tiedon jakamiseksi </w:t>
      </w:r>
      <w:r w:rsidR="00734FB1">
        <w:rPr>
          <w:rFonts w:ascii="Times New Roman" w:hAnsi="Times New Roman"/>
          <w:b/>
        </w:rPr>
        <w:t>(tarvittaessa):</w:t>
      </w:r>
    </w:p>
    <w:p w14:paraId="7202A434" w14:textId="013D2D1E" w:rsidR="00497B40" w:rsidRPr="002965AE" w:rsidRDefault="00734FB1" w:rsidP="00FC403F">
      <w:pPr>
        <w:pStyle w:val="ListParagraph"/>
        <w:numPr>
          <w:ilvl w:val="0"/>
          <w:numId w:val="4"/>
        </w:numPr>
        <w:spacing w:after="0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Pyydä lisätietoa </w:t>
      </w:r>
      <w:r w:rsidR="006F65D8">
        <w:rPr>
          <w:rFonts w:ascii="Times New Roman" w:hAnsi="Times New Roman"/>
        </w:rPr>
        <w:t xml:space="preserve">kauppakamareilta, EU:n liiketoimintayhdistyksiltä ja </w:t>
      </w:r>
      <w:r>
        <w:rPr>
          <w:rFonts w:ascii="Times New Roman" w:hAnsi="Times New Roman"/>
        </w:rPr>
        <w:t>jäsen</w:t>
      </w:r>
      <w:r w:rsidR="006F65D8">
        <w:rPr>
          <w:rFonts w:ascii="Times New Roman" w:hAnsi="Times New Roman"/>
        </w:rPr>
        <w:t xml:space="preserve">maiden </w:t>
      </w:r>
      <w:r>
        <w:rPr>
          <w:rFonts w:ascii="Times New Roman" w:hAnsi="Times New Roman"/>
        </w:rPr>
        <w:t xml:space="preserve">ulkomailla toimivilta </w:t>
      </w:r>
      <w:r w:rsidR="006F65D8">
        <w:rPr>
          <w:rFonts w:ascii="Times New Roman" w:hAnsi="Times New Roman"/>
        </w:rPr>
        <w:t>liiketoimintayhdistyksiltä</w:t>
      </w:r>
      <w:r>
        <w:rPr>
          <w:rFonts w:ascii="Times New Roman" w:hAnsi="Times New Roman"/>
        </w:rPr>
        <w:t>.</w:t>
      </w:r>
    </w:p>
    <w:p w14:paraId="6A624730" w14:textId="56275FC8" w:rsidR="00915509" w:rsidRDefault="00915509" w:rsidP="00FC403F">
      <w:pPr>
        <w:pStyle w:val="ListParagraph"/>
        <w:numPr>
          <w:ilvl w:val="0"/>
          <w:numId w:val="4"/>
        </w:numPr>
        <w:spacing w:after="360" w:line="240" w:lineRule="auto"/>
        <w:ind w:left="1077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Hyödynnä muiden markkinoilla olev</w:t>
      </w:r>
      <w:r w:rsidR="006F65D8">
        <w:rPr>
          <w:rFonts w:ascii="Times New Roman" w:hAnsi="Times New Roman"/>
        </w:rPr>
        <w:t>ien yritysten kokemuksia (jos soveltuu)</w:t>
      </w:r>
      <w:r>
        <w:rPr>
          <w:rFonts w:ascii="Times New Roman" w:hAnsi="Times New Roman"/>
        </w:rPr>
        <w:t>.</w:t>
      </w:r>
    </w:p>
    <w:p w14:paraId="2913E663" w14:textId="56174D2D" w:rsidR="00503CCB" w:rsidRPr="002965AE" w:rsidRDefault="00222C5D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>Dokumentoi t</w:t>
      </w:r>
      <w:r w:rsidR="00915509">
        <w:rPr>
          <w:rFonts w:ascii="Times New Roman" w:hAnsi="Times New Roman"/>
          <w:b/>
        </w:rPr>
        <w:t xml:space="preserve">austatarkastukset ja </w:t>
      </w:r>
      <w:r>
        <w:rPr>
          <w:rFonts w:ascii="Times New Roman" w:hAnsi="Times New Roman"/>
          <w:b/>
        </w:rPr>
        <w:t>–selvitykset</w:t>
      </w:r>
      <w:r w:rsidR="00FC403F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 xml:space="preserve"> </w:t>
      </w:r>
    </w:p>
    <w:p w14:paraId="7B7A3AA7" w14:textId="77777777" w:rsidR="0060163E" w:rsidRPr="002965AE" w:rsidRDefault="0060163E" w:rsidP="00C94257">
      <w:pPr>
        <w:pStyle w:val="ListParagraph"/>
        <w:numPr>
          <w:ilvl w:val="0"/>
          <w:numId w:val="5"/>
        </w:numPr>
        <w:spacing w:line="240" w:lineRule="auto"/>
        <w:ind w:left="1077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Dokumentoi prosessi: </w:t>
      </w:r>
    </w:p>
    <w:p w14:paraId="1B291EF1" w14:textId="641D8C89" w:rsidR="0060163E" w:rsidRPr="002965AE" w:rsidRDefault="006F65D8" w:rsidP="00C94257">
      <w:pPr>
        <w:pStyle w:val="ListParagraph"/>
        <w:numPr>
          <w:ilvl w:val="1"/>
          <w:numId w:val="5"/>
        </w:numPr>
        <w:spacing w:line="240" w:lineRule="auto"/>
        <w:ind w:left="1797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P</w:t>
      </w:r>
      <w:r w:rsidR="0060163E">
        <w:rPr>
          <w:rFonts w:ascii="Times New Roman" w:hAnsi="Times New Roman"/>
        </w:rPr>
        <w:t>akot</w:t>
      </w:r>
      <w:r>
        <w:rPr>
          <w:rFonts w:ascii="Times New Roman" w:hAnsi="Times New Roman"/>
        </w:rPr>
        <w:t xml:space="preserve">etarkastukset </w:t>
      </w:r>
    </w:p>
    <w:p w14:paraId="6C40D666" w14:textId="7995AD99" w:rsidR="000A155B" w:rsidRPr="002965AE" w:rsidRDefault="006F65D8" w:rsidP="00C94257">
      <w:pPr>
        <w:pStyle w:val="ListParagraph"/>
        <w:numPr>
          <w:ilvl w:val="1"/>
          <w:numId w:val="5"/>
        </w:numPr>
        <w:spacing w:line="240" w:lineRule="auto"/>
        <w:ind w:left="1797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Tulokset koskien </w:t>
      </w:r>
      <w:r w:rsidR="000A155B">
        <w:rPr>
          <w:rFonts w:ascii="Times New Roman" w:hAnsi="Times New Roman"/>
        </w:rPr>
        <w:t>kielteis</w:t>
      </w:r>
      <w:r>
        <w:rPr>
          <w:rFonts w:ascii="Times New Roman" w:hAnsi="Times New Roman"/>
        </w:rPr>
        <w:t xml:space="preserve">tä </w:t>
      </w:r>
      <w:r w:rsidR="000A155B">
        <w:rPr>
          <w:rFonts w:ascii="Times New Roman" w:hAnsi="Times New Roman"/>
        </w:rPr>
        <w:t>mediahuomio</w:t>
      </w:r>
      <w:r>
        <w:rPr>
          <w:rFonts w:ascii="Times New Roman" w:hAnsi="Times New Roman"/>
        </w:rPr>
        <w:t>ta</w:t>
      </w:r>
    </w:p>
    <w:p w14:paraId="1394CA36" w14:textId="583EEC59" w:rsidR="00670E07" w:rsidRPr="002965AE" w:rsidRDefault="006F65D8" w:rsidP="00C94257">
      <w:pPr>
        <w:pStyle w:val="ListParagraph"/>
        <w:numPr>
          <w:ilvl w:val="1"/>
          <w:numId w:val="5"/>
        </w:numPr>
        <w:spacing w:line="240" w:lineRule="auto"/>
        <w:ind w:left="1797" w:hanging="357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</w:t>
      </w:r>
      <w:r w:rsidR="00670E07">
        <w:rPr>
          <w:rFonts w:ascii="Times New Roman" w:hAnsi="Times New Roman"/>
        </w:rPr>
        <w:t>iestintä asiakkaan/liikekumppanin kanssa tapauksesta</w:t>
      </w:r>
    </w:p>
    <w:p w14:paraId="4E1E381B" w14:textId="284EA62D" w:rsidR="00670E07" w:rsidRPr="002965AE" w:rsidRDefault="006F65D8" w:rsidP="00C94257">
      <w:pPr>
        <w:pStyle w:val="ListParagraph"/>
        <w:numPr>
          <w:ilvl w:val="1"/>
          <w:numId w:val="5"/>
        </w:numPr>
        <w:spacing w:line="240" w:lineRule="auto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K</w:t>
      </w:r>
      <w:r w:rsidR="00670E07">
        <w:rPr>
          <w:rFonts w:ascii="Times New Roman" w:hAnsi="Times New Roman"/>
        </w:rPr>
        <w:t>yselyt eri osapuolille.</w:t>
      </w:r>
    </w:p>
    <w:p w14:paraId="62277AA5" w14:textId="4EE1BB58" w:rsidR="002F6E70" w:rsidRDefault="00670E07" w:rsidP="00C94257">
      <w:pPr>
        <w:pStyle w:val="ListParagraph"/>
        <w:numPr>
          <w:ilvl w:val="0"/>
          <w:numId w:val="5"/>
        </w:numPr>
        <w:spacing w:after="360" w:line="240" w:lineRule="auto"/>
        <w:ind w:left="1077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Dokumentoi prosessissa saadut tiedot ja tosiseikat, joiden perusteella teet liiketoimintapäätöksen.  </w:t>
      </w:r>
    </w:p>
    <w:p w14:paraId="1F98EAE1" w14:textId="6DF4F9DA" w:rsidR="00497B40" w:rsidRPr="002965AE" w:rsidRDefault="00734FB1" w:rsidP="0053497D">
      <w:pPr>
        <w:pStyle w:val="ListParagraph"/>
        <w:numPr>
          <w:ilvl w:val="0"/>
          <w:numId w:val="3"/>
        </w:numPr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  <w:b/>
        </w:rPr>
        <w:t>Ilmoita viranomaisille pakotteiden kiertämistä koskevista tapauksista</w:t>
      </w:r>
      <w:r w:rsidR="00FC403F"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 xml:space="preserve"> </w:t>
      </w:r>
    </w:p>
    <w:p w14:paraId="48777289" w14:textId="1C70B433" w:rsidR="00734FB1" w:rsidRPr="002965AE" w:rsidRDefault="006F65D8" w:rsidP="00C94257">
      <w:pPr>
        <w:pStyle w:val="ListParagraph"/>
        <w:numPr>
          <w:ilvl w:val="1"/>
          <w:numId w:val="3"/>
        </w:numPr>
        <w:spacing w:line="240" w:lineRule="auto"/>
        <w:ind w:left="1491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Voit ilmoittaa </w:t>
      </w:r>
      <w:r w:rsidR="00497B40">
        <w:rPr>
          <w:rFonts w:ascii="Times New Roman" w:hAnsi="Times New Roman"/>
        </w:rPr>
        <w:t>kansalliselle toimivaltaiselle viranomaiselle</w:t>
      </w:r>
      <w:r>
        <w:rPr>
          <w:rFonts w:ascii="Times New Roman" w:hAnsi="Times New Roman"/>
        </w:rPr>
        <w:t xml:space="preserve"> </w:t>
      </w:r>
      <w:r w:rsidR="00497B40">
        <w:rPr>
          <w:rFonts w:ascii="Times New Roman" w:hAnsi="Times New Roman"/>
        </w:rPr>
        <w:t xml:space="preserve">havaitsemistasi </w:t>
      </w:r>
      <w:r>
        <w:rPr>
          <w:rFonts w:ascii="Times New Roman" w:hAnsi="Times New Roman"/>
        </w:rPr>
        <w:t>pakotteiden kiertämisyrit</w:t>
      </w:r>
      <w:r w:rsidR="00497B40">
        <w:rPr>
          <w:rFonts w:ascii="Times New Roman" w:hAnsi="Times New Roman"/>
        </w:rPr>
        <w:t>y</w:t>
      </w:r>
      <w:r>
        <w:rPr>
          <w:rFonts w:ascii="Times New Roman" w:hAnsi="Times New Roman"/>
        </w:rPr>
        <w:t>ksistä ja havaitus</w:t>
      </w:r>
      <w:r w:rsidR="00497B40">
        <w:rPr>
          <w:rFonts w:ascii="Times New Roman" w:hAnsi="Times New Roman"/>
        </w:rPr>
        <w:t>ta pakotteiden kiertämis</w:t>
      </w:r>
      <w:r>
        <w:rPr>
          <w:rFonts w:ascii="Times New Roman" w:hAnsi="Times New Roman"/>
        </w:rPr>
        <w:t>es</w:t>
      </w:r>
      <w:r w:rsidR="00497B40">
        <w:rPr>
          <w:rFonts w:ascii="Times New Roman" w:hAnsi="Times New Roman"/>
        </w:rPr>
        <w:t>tä (tai niiden yrittäm</w:t>
      </w:r>
      <w:r w:rsidR="00DF2F63">
        <w:rPr>
          <w:rFonts w:ascii="Times New Roman" w:hAnsi="Times New Roman"/>
        </w:rPr>
        <w:t xml:space="preserve">isen epäilystä) (tämän </w:t>
      </w:r>
      <w:r w:rsidR="00497B40">
        <w:rPr>
          <w:rFonts w:ascii="Times New Roman" w:hAnsi="Times New Roman"/>
        </w:rPr>
        <w:t xml:space="preserve">asiakirjan liitteessä II on yhteystietoluettelo).    </w:t>
      </w:r>
    </w:p>
    <w:p w14:paraId="51883121" w14:textId="12E4AF4C" w:rsidR="00DB3D19" w:rsidRPr="002965AE" w:rsidRDefault="006F65D8" w:rsidP="00C94257">
      <w:pPr>
        <w:pStyle w:val="ListParagraph"/>
        <w:numPr>
          <w:ilvl w:val="1"/>
          <w:numId w:val="3"/>
        </w:numPr>
        <w:spacing w:line="240" w:lineRule="auto"/>
        <w:ind w:left="1491" w:hanging="357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Voit ilmoittaa p</w:t>
      </w:r>
      <w:r w:rsidR="00DB3D19">
        <w:rPr>
          <w:rFonts w:ascii="Times New Roman" w:hAnsi="Times New Roman"/>
        </w:rPr>
        <w:t xml:space="preserve">akotteiden kiertämisestä </w:t>
      </w:r>
      <w:hyperlink r:id="rId24" w:history="1">
        <w:r w:rsidR="00DB3D19">
          <w:rPr>
            <w:rStyle w:val="Hyperlink"/>
            <w:rFonts w:ascii="Times New Roman" w:hAnsi="Times New Roman"/>
          </w:rPr>
          <w:t>EU:n väärinkäytösten paljastajien työkalulla</w:t>
        </w:r>
      </w:hyperlink>
      <w:r w:rsidR="00DB3D19">
        <w:rPr>
          <w:rFonts w:ascii="Times New Roman" w:hAnsi="Times New Roman"/>
        </w:rPr>
        <w:t xml:space="preserve">.  </w:t>
      </w:r>
    </w:p>
    <w:p w14:paraId="52E56BB7" w14:textId="01BBC244" w:rsidR="00D66C03" w:rsidRPr="00DB60A0" w:rsidRDefault="00D66C03" w:rsidP="0053497D">
      <w:pPr>
        <w:rPr>
          <w:rFonts w:ascii="Times New Roman" w:hAnsi="Times New Roman" w:cs="Times New Roman"/>
          <w:b/>
          <w:u w:val="single"/>
        </w:rPr>
      </w:pPr>
    </w:p>
    <w:p w14:paraId="20D54070" w14:textId="77777777" w:rsidR="00B942D0" w:rsidRPr="00DB60A0" w:rsidRDefault="00B942D0" w:rsidP="0053497D">
      <w:pPr>
        <w:rPr>
          <w:rFonts w:ascii="Times New Roman" w:hAnsi="Times New Roman" w:cs="Times New Roman"/>
          <w:b/>
          <w:u w:val="single"/>
        </w:rPr>
      </w:pPr>
    </w:p>
    <w:p w14:paraId="46F7855E" w14:textId="77777777" w:rsidR="00AC40C0" w:rsidRPr="00DB60A0" w:rsidRDefault="00AC40C0" w:rsidP="0053497D">
      <w:pPr>
        <w:rPr>
          <w:rFonts w:ascii="Times New Roman" w:hAnsi="Times New Roman" w:cs="Times New Roman"/>
          <w:b/>
          <w:u w:val="single"/>
        </w:rPr>
      </w:pPr>
    </w:p>
    <w:p w14:paraId="23F27C1A" w14:textId="77777777" w:rsidR="00AC40C0" w:rsidRPr="00DB60A0" w:rsidRDefault="00AC40C0" w:rsidP="0053497D">
      <w:pPr>
        <w:rPr>
          <w:rFonts w:ascii="Times New Roman" w:hAnsi="Times New Roman" w:cs="Times New Roman"/>
          <w:b/>
          <w:u w:val="single"/>
        </w:rPr>
      </w:pPr>
    </w:p>
    <w:p w14:paraId="2C1DE7BB" w14:textId="77777777" w:rsidR="00AC40C0" w:rsidRPr="00DB60A0" w:rsidRDefault="00AC40C0" w:rsidP="0053497D">
      <w:pPr>
        <w:rPr>
          <w:rFonts w:ascii="Times New Roman" w:hAnsi="Times New Roman" w:cs="Times New Roman"/>
          <w:b/>
          <w:u w:val="single"/>
        </w:rPr>
      </w:pPr>
    </w:p>
    <w:p w14:paraId="1A22DF9B" w14:textId="77777777" w:rsidR="00AC40C0" w:rsidRPr="00DB60A0" w:rsidRDefault="00AC40C0" w:rsidP="0053497D">
      <w:pPr>
        <w:rPr>
          <w:rFonts w:ascii="Times New Roman" w:hAnsi="Times New Roman" w:cs="Times New Roman"/>
          <w:b/>
          <w:u w:val="single"/>
        </w:rPr>
      </w:pPr>
    </w:p>
    <w:p w14:paraId="7158E177" w14:textId="77777777" w:rsidR="00AC40C0" w:rsidRPr="00DB60A0" w:rsidRDefault="00AC40C0" w:rsidP="0053497D">
      <w:pPr>
        <w:rPr>
          <w:rFonts w:ascii="Times New Roman" w:hAnsi="Times New Roman" w:cs="Times New Roman"/>
          <w:b/>
          <w:u w:val="single"/>
        </w:rPr>
      </w:pPr>
    </w:p>
    <w:p w14:paraId="02B81663" w14:textId="77777777" w:rsidR="00AC40C0" w:rsidRPr="00DB60A0" w:rsidRDefault="00AC40C0" w:rsidP="0053497D">
      <w:pPr>
        <w:rPr>
          <w:rFonts w:ascii="Times New Roman" w:hAnsi="Times New Roman" w:cs="Times New Roman"/>
          <w:b/>
          <w:u w:val="single"/>
        </w:rPr>
      </w:pPr>
    </w:p>
    <w:p w14:paraId="0158336A" w14:textId="77777777" w:rsidR="00AC40C0" w:rsidRPr="00DB60A0" w:rsidRDefault="00AC40C0">
      <w:pPr>
        <w:rPr>
          <w:rFonts w:ascii="Times New Roman" w:hAnsi="Times New Roman" w:cs="Times New Roman"/>
          <w:b/>
          <w:u w:val="single"/>
        </w:rPr>
      </w:pPr>
    </w:p>
    <w:p w14:paraId="6DDE6718" w14:textId="77777777" w:rsidR="00AC40C0" w:rsidRPr="00DB60A0" w:rsidRDefault="00AC40C0">
      <w:pPr>
        <w:rPr>
          <w:rFonts w:ascii="Times New Roman" w:hAnsi="Times New Roman" w:cs="Times New Roman"/>
          <w:b/>
          <w:u w:val="single"/>
        </w:rPr>
      </w:pPr>
    </w:p>
    <w:p w14:paraId="331431BE" w14:textId="77777777" w:rsidR="00AC40C0" w:rsidRPr="00DB60A0" w:rsidRDefault="00AC40C0">
      <w:pPr>
        <w:rPr>
          <w:rFonts w:ascii="Times New Roman" w:hAnsi="Times New Roman" w:cs="Times New Roman"/>
          <w:b/>
          <w:u w:val="single"/>
        </w:rPr>
      </w:pPr>
    </w:p>
    <w:p w14:paraId="295FA2FD" w14:textId="77777777" w:rsidR="00E133F9" w:rsidRPr="00DB60A0" w:rsidRDefault="00E133F9">
      <w:pPr>
        <w:rPr>
          <w:rFonts w:ascii="Times New Roman" w:hAnsi="Times New Roman" w:cs="Times New Roman"/>
          <w:b/>
          <w:u w:val="single"/>
        </w:rPr>
      </w:pPr>
    </w:p>
    <w:p w14:paraId="7DBFD594" w14:textId="77777777" w:rsidR="006F65D8" w:rsidRDefault="006F65D8">
      <w:pPr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br w:type="page"/>
      </w:r>
    </w:p>
    <w:p w14:paraId="29DE5F6A" w14:textId="2BEEA86B" w:rsidR="00912066" w:rsidRPr="002965AE" w:rsidRDefault="00FF2C2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LIITE I</w:t>
      </w:r>
    </w:p>
    <w:p w14:paraId="21BF3F62" w14:textId="6E3C0313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  <w:b/>
        </w:rPr>
      </w:pPr>
      <w:r w:rsidRPr="00347952">
        <w:rPr>
          <w:rFonts w:ascii="Times New Roman" w:hAnsi="Times New Roman"/>
          <w:b/>
        </w:rPr>
        <w:t>1. Miten määritetään omist</w:t>
      </w:r>
      <w:r>
        <w:rPr>
          <w:rFonts w:ascii="Times New Roman" w:hAnsi="Times New Roman"/>
          <w:b/>
        </w:rPr>
        <w:t>us</w:t>
      </w:r>
      <w:r w:rsidRPr="00347952">
        <w:rPr>
          <w:rFonts w:ascii="Times New Roman" w:hAnsi="Times New Roman"/>
          <w:b/>
        </w:rPr>
        <w:t xml:space="preserve"> ja määräysvalta?</w:t>
      </w:r>
    </w:p>
    <w:p w14:paraId="40EF6360" w14:textId="0B7D1630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 xml:space="preserve">EU:n </w:t>
      </w:r>
      <w:r w:rsidR="00706043">
        <w:rPr>
          <w:rFonts w:ascii="Times New Roman" w:hAnsi="Times New Roman"/>
        </w:rPr>
        <w:t xml:space="preserve">toimijalle </w:t>
      </w:r>
      <w:r w:rsidRPr="00347952">
        <w:rPr>
          <w:rFonts w:ascii="Times New Roman" w:hAnsi="Times New Roman"/>
        </w:rPr>
        <w:t>ei aina ole selvää, kenellä on suora tai välillinen määräysvalta sen liikekumppaniin</w:t>
      </w:r>
      <w:r w:rsidR="00706043">
        <w:rPr>
          <w:rStyle w:val="FootnoteReference"/>
          <w:rFonts w:ascii="Times New Roman" w:hAnsi="Times New Roman"/>
        </w:rPr>
        <w:footnoteReference w:id="5"/>
      </w:r>
      <w:r w:rsidRPr="00347952">
        <w:rPr>
          <w:rFonts w:ascii="Times New Roman" w:hAnsi="Times New Roman"/>
        </w:rPr>
        <w:t>. EU:n toimijoiden</w:t>
      </w:r>
      <w:r w:rsidRPr="00706043">
        <w:rPr>
          <w:rFonts w:ascii="Times New Roman" w:hAnsi="Times New Roman"/>
          <w:b/>
        </w:rPr>
        <w:t xml:space="preserve"> on</w:t>
      </w:r>
      <w:r w:rsidRPr="00347952">
        <w:rPr>
          <w:rFonts w:ascii="Times New Roman" w:hAnsi="Times New Roman"/>
        </w:rPr>
        <w:t xml:space="preserve"> kuitenkin </w:t>
      </w:r>
      <w:r w:rsidRPr="00706043">
        <w:rPr>
          <w:rFonts w:ascii="Times New Roman" w:hAnsi="Times New Roman"/>
          <w:b/>
        </w:rPr>
        <w:t>varmistettava,</w:t>
      </w:r>
      <w:r w:rsidRPr="00347952">
        <w:rPr>
          <w:rFonts w:ascii="Times New Roman" w:hAnsi="Times New Roman"/>
        </w:rPr>
        <w:t xml:space="preserve"> etteivät ne a</w:t>
      </w:r>
      <w:r w:rsidR="00706043">
        <w:rPr>
          <w:rFonts w:ascii="Times New Roman" w:hAnsi="Times New Roman"/>
        </w:rPr>
        <w:t xml:space="preserve">seta </w:t>
      </w:r>
      <w:r w:rsidRPr="00347952">
        <w:rPr>
          <w:rFonts w:ascii="Times New Roman" w:hAnsi="Times New Roman"/>
        </w:rPr>
        <w:t>taloudellisia resursseja suoraan tai välillisesti sellaisen h</w:t>
      </w:r>
      <w:r w:rsidR="00706043">
        <w:rPr>
          <w:rFonts w:ascii="Times New Roman" w:hAnsi="Times New Roman"/>
        </w:rPr>
        <w:t>enkilön tai yhteisön saataville</w:t>
      </w:r>
      <w:r w:rsidRPr="00347952">
        <w:rPr>
          <w:rFonts w:ascii="Times New Roman" w:hAnsi="Times New Roman"/>
        </w:rPr>
        <w:t>, johon sovelletaan EU:n rajoittavia toimenpiteitä, asioimalla tällaisen henkilön tai yhteisön määräysvallassa tai omistuksessa olevan yhteisön kanssa. Lisäksi EU:n rajoittavien toimenpiteiden kohteena olevan henkilön tai yhteisön omistuksessa, hallussa tai määräysvallassa olevat varat ja taloudelliset resurssit jäädytetään.</w:t>
      </w:r>
    </w:p>
    <w:p w14:paraId="33429574" w14:textId="3BF32FE4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 xml:space="preserve">Euroopan unionin neuvosto on antanut ohjeita omistajuuden ja valvonnan tulkinnasta </w:t>
      </w:r>
      <w:r w:rsidRPr="00706043">
        <w:rPr>
          <w:rFonts w:ascii="Times New Roman" w:hAnsi="Times New Roman"/>
          <w:i/>
        </w:rPr>
        <w:t>EU:n parhaissa käytännöissä rajoittavien toimenpiteiden tehokasta täytäntöönpanoa varten</w:t>
      </w:r>
      <w:r w:rsidRPr="00347952">
        <w:rPr>
          <w:rFonts w:ascii="Times New Roman" w:hAnsi="Times New Roman"/>
        </w:rPr>
        <w:t xml:space="preserve"> (jäljempänä ”EU:n parhaat käytännöt”).</w:t>
      </w:r>
      <w:r w:rsidR="00706043">
        <w:rPr>
          <w:rStyle w:val="FootnoteReference"/>
          <w:rFonts w:ascii="Times New Roman" w:hAnsi="Times New Roman"/>
        </w:rPr>
        <w:footnoteReference w:id="6"/>
      </w:r>
      <w:r w:rsidRPr="00347952">
        <w:rPr>
          <w:rFonts w:ascii="Times New Roman" w:hAnsi="Times New Roman"/>
        </w:rPr>
        <w:t xml:space="preserve"> Lisäksi komissio on julkaissut ohjeita ja laajoja erityiskysymyksiä (yli 500), jotka kattavat monia eri aiheita, ja päivittää niitä edelleen auttaakseen sidosryhmiä panemaan täytäntöön pakotepaketteja.</w:t>
      </w:r>
      <w:r w:rsidR="00706043">
        <w:rPr>
          <w:rStyle w:val="FootnoteReference"/>
          <w:rFonts w:ascii="Times New Roman" w:hAnsi="Times New Roman"/>
        </w:rPr>
        <w:footnoteReference w:id="7"/>
      </w:r>
    </w:p>
    <w:p w14:paraId="77DBC1C8" w14:textId="528FB5BD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Omistus</w:t>
      </w:r>
    </w:p>
    <w:p w14:paraId="44A61A5B" w14:textId="0B960D0A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 xml:space="preserve">EU:n parhaiden käytänteiden 62 kohdan mukaisesti </w:t>
      </w:r>
      <w:r w:rsidRPr="00706043">
        <w:rPr>
          <w:rFonts w:ascii="Times New Roman" w:hAnsi="Times New Roman"/>
          <w:i/>
        </w:rPr>
        <w:t>arviointiperusteena, joka on otettava huomioon arvioitaessa, onko oikeushenkilö tai yhteisö toisen henkilön tai yhteisön omistuksessa, on yli 50 prosenttia yhteisön omistusoikeuksista tai jos sillä on</w:t>
      </w:r>
      <w:r w:rsidR="001E2099">
        <w:rPr>
          <w:rFonts w:ascii="Times New Roman" w:hAnsi="Times New Roman"/>
          <w:i/>
        </w:rPr>
        <w:t xml:space="preserve"> muuten</w:t>
      </w:r>
      <w:r w:rsidRPr="00706043">
        <w:rPr>
          <w:rFonts w:ascii="Times New Roman" w:hAnsi="Times New Roman"/>
          <w:i/>
        </w:rPr>
        <w:t xml:space="preserve"> enemmistön</w:t>
      </w:r>
      <w:r w:rsidR="001E2099">
        <w:rPr>
          <w:rFonts w:ascii="Times New Roman" w:hAnsi="Times New Roman"/>
          <w:i/>
        </w:rPr>
        <w:t>omistus</w:t>
      </w:r>
      <w:r w:rsidRPr="00706043">
        <w:rPr>
          <w:rFonts w:ascii="Times New Roman" w:hAnsi="Times New Roman"/>
          <w:i/>
        </w:rPr>
        <w:t xml:space="preserve"> siihen. Jos tämä kriteeri täyttyy, katsotaan, että oikeushenkilö tai yhteisö on toisen henkilön tai yhteisön omistuksessa.</w:t>
      </w:r>
    </w:p>
    <w:p w14:paraId="334DE2E9" w14:textId="66234DDB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 xml:space="preserve">Komissio on antanut </w:t>
      </w:r>
      <w:r w:rsidR="00DC1CE6">
        <w:rPr>
          <w:rFonts w:ascii="Times New Roman" w:hAnsi="Times New Roman"/>
        </w:rPr>
        <w:t xml:space="preserve">internetsivuillaan </w:t>
      </w:r>
      <w:r w:rsidR="00706043">
        <w:rPr>
          <w:rFonts w:ascii="Times New Roman" w:hAnsi="Times New Roman"/>
        </w:rPr>
        <w:t xml:space="preserve">Usein kysytyt kysymykset ja vastaukset </w:t>
      </w:r>
      <w:r w:rsidR="00DC1CE6">
        <w:rPr>
          <w:rFonts w:ascii="Times New Roman" w:hAnsi="Times New Roman"/>
        </w:rPr>
        <w:t>–osiossa (</w:t>
      </w:r>
      <w:r w:rsidRPr="00347952">
        <w:rPr>
          <w:rFonts w:ascii="Times New Roman" w:hAnsi="Times New Roman"/>
        </w:rPr>
        <w:t>FAQ</w:t>
      </w:r>
      <w:r w:rsidR="00DC1CE6">
        <w:rPr>
          <w:rFonts w:ascii="Times New Roman" w:hAnsi="Times New Roman"/>
        </w:rPr>
        <w:t xml:space="preserve">) </w:t>
      </w:r>
      <w:r w:rsidRPr="00347952">
        <w:rPr>
          <w:rFonts w:ascii="Times New Roman" w:hAnsi="Times New Roman"/>
        </w:rPr>
        <w:t>ohjeita siitä, miten kokonaisomistus otetaan huomioon:</w:t>
      </w:r>
    </w:p>
    <w:p w14:paraId="4E06D3EB" w14:textId="2FB4A709" w:rsidR="00347952" w:rsidRPr="00347952" w:rsidRDefault="00347952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>8. Kokonaisomistus: Jos kaksi tai useampia listaamattomia henkilöitä on kukin listaamattoman yhteisön vähemmistöosakkaita, mutta niiden yhteenlaskettu omistusosuus on yli 50 prosenttia kyseisestä yhteisöstä, pitääkö tätä yhteisöä pitää lista</w:t>
      </w:r>
      <w:r w:rsidR="00DC1CE6">
        <w:rPr>
          <w:rFonts w:ascii="Times New Roman" w:hAnsi="Times New Roman"/>
        </w:rPr>
        <w:t xml:space="preserve">ttujen </w:t>
      </w:r>
      <w:r w:rsidRPr="00347952">
        <w:rPr>
          <w:rFonts w:ascii="Times New Roman" w:hAnsi="Times New Roman"/>
        </w:rPr>
        <w:t>henkilöiden omistamana?</w:t>
      </w:r>
    </w:p>
    <w:p w14:paraId="76FCBEF3" w14:textId="77777777" w:rsidR="00347952" w:rsidRPr="00347952" w:rsidRDefault="00347952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>Viimeinen päivitys: 8. huhtikuuta 2022</w:t>
      </w:r>
    </w:p>
    <w:p w14:paraId="03774386" w14:textId="573B7819" w:rsidR="00347952" w:rsidRDefault="00347952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 xml:space="preserve">Yhteisön yhteenlaskettu omistus </w:t>
      </w:r>
      <w:r w:rsidR="00DC1CE6">
        <w:rPr>
          <w:rFonts w:ascii="Times New Roman" w:hAnsi="Times New Roman"/>
        </w:rPr>
        <w:t xml:space="preserve">tulee ottaa </w:t>
      </w:r>
      <w:r w:rsidRPr="00347952">
        <w:rPr>
          <w:rFonts w:ascii="Times New Roman" w:hAnsi="Times New Roman"/>
        </w:rPr>
        <w:t xml:space="preserve">huomioon. Jos </w:t>
      </w:r>
      <w:r w:rsidR="00DC1CE6">
        <w:rPr>
          <w:rFonts w:ascii="Times New Roman" w:hAnsi="Times New Roman"/>
        </w:rPr>
        <w:t>esimerkiksi yksi listatuista</w:t>
      </w:r>
      <w:r w:rsidRPr="00347952">
        <w:rPr>
          <w:rFonts w:ascii="Times New Roman" w:hAnsi="Times New Roman"/>
        </w:rPr>
        <w:t xml:space="preserve"> henkilöistä omistaa 30 prosenttia yhte</w:t>
      </w:r>
      <w:r w:rsidR="00DC1CE6">
        <w:rPr>
          <w:rFonts w:ascii="Times New Roman" w:hAnsi="Times New Roman"/>
        </w:rPr>
        <w:t>isöstä ja toinen listatuista</w:t>
      </w:r>
      <w:r w:rsidRPr="00347952">
        <w:rPr>
          <w:rFonts w:ascii="Times New Roman" w:hAnsi="Times New Roman"/>
        </w:rPr>
        <w:t xml:space="preserve"> henkilöistä omistaa 25 prosenttia yhteisöstä, yhteisöä olisi pidettävä luetteloitujen henkilöiden omistamana.</w:t>
      </w:r>
      <w:r w:rsidR="00706043">
        <w:rPr>
          <w:rStyle w:val="FootnoteReference"/>
          <w:rFonts w:ascii="Times New Roman" w:hAnsi="Times New Roman"/>
        </w:rPr>
        <w:footnoteReference w:id="8"/>
      </w:r>
    </w:p>
    <w:p w14:paraId="3E4577FB" w14:textId="77777777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>Komissio on myös antanut ohjeita siitä, miten omistus - ja organisaatiorakenteiden muutokset otetaan huomioon:</w:t>
      </w:r>
    </w:p>
    <w:p w14:paraId="0A18B28D" w14:textId="5D36383F" w:rsidR="00347952" w:rsidRPr="00347952" w:rsidRDefault="00DC1CE6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 Jos listalle</w:t>
      </w:r>
      <w:r w:rsidR="00347952" w:rsidRPr="00347952">
        <w:rPr>
          <w:rFonts w:ascii="Times New Roman" w:hAnsi="Times New Roman"/>
        </w:rPr>
        <w:t xml:space="preserve"> merkityn henkilön varat siirrettiin l</w:t>
      </w:r>
      <w:r>
        <w:rPr>
          <w:rFonts w:ascii="Times New Roman" w:hAnsi="Times New Roman"/>
        </w:rPr>
        <w:t xml:space="preserve">istalle </w:t>
      </w:r>
      <w:r w:rsidR="00347952" w:rsidRPr="00347952">
        <w:rPr>
          <w:rFonts w:ascii="Times New Roman" w:hAnsi="Times New Roman"/>
        </w:rPr>
        <w:t>merkitsemättömälle kolmannelle henkilölle (esim. perheenjäsenelle) ennen luettelon voimaantuloa, onko varat vielä jäädytettävä?</w:t>
      </w:r>
    </w:p>
    <w:p w14:paraId="708680F2" w14:textId="77777777" w:rsidR="00347952" w:rsidRPr="00347952" w:rsidRDefault="00347952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>Viimeinen päivitys: 8. huhtikuuta 2022</w:t>
      </w:r>
    </w:p>
    <w:p w14:paraId="08BF14F9" w14:textId="69D23A27" w:rsidR="00347952" w:rsidRDefault="00347952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>Neuvoston asetuksen (EU) 269/2014 2 artiklan 1 kohtaa ei sovelleta takautuvasti. Se edellyttää kuitenkin kaikkien l</w:t>
      </w:r>
      <w:r w:rsidR="00DC1CE6">
        <w:rPr>
          <w:rFonts w:ascii="Times New Roman" w:hAnsi="Times New Roman"/>
        </w:rPr>
        <w:t xml:space="preserve">istalle </w:t>
      </w:r>
      <w:r w:rsidRPr="00347952">
        <w:rPr>
          <w:rFonts w:ascii="Times New Roman" w:hAnsi="Times New Roman"/>
        </w:rPr>
        <w:t>merkittyjen henkilöiden tällä hetkellä omistamien, hallussaan pitämien, omistamien tai määräysvallassa olevien varojen jäädyttämistä. Jos arvioinnin ajankohtana on perusteltua uskoa, että tietyt varat ”kuuluvat” l</w:t>
      </w:r>
      <w:r w:rsidR="00DC1CE6">
        <w:rPr>
          <w:rFonts w:ascii="Times New Roman" w:hAnsi="Times New Roman"/>
        </w:rPr>
        <w:t xml:space="preserve">istalle </w:t>
      </w:r>
      <w:r w:rsidRPr="00347952">
        <w:rPr>
          <w:rFonts w:ascii="Times New Roman" w:hAnsi="Times New Roman"/>
        </w:rPr>
        <w:t xml:space="preserve">merkitylle henkilölle tai että ne </w:t>
      </w:r>
      <w:r w:rsidR="00DC1CE6">
        <w:rPr>
          <w:rFonts w:ascii="Times New Roman" w:hAnsi="Times New Roman"/>
        </w:rPr>
        <w:t xml:space="preserve">ovat listatun henkilön </w:t>
      </w:r>
      <w:r w:rsidRPr="00347952">
        <w:rPr>
          <w:rFonts w:ascii="Times New Roman" w:hAnsi="Times New Roman"/>
        </w:rPr>
        <w:t>”määräysvallassa”, vaikka ne olisi</w:t>
      </w:r>
      <w:r w:rsidR="00DC1CE6">
        <w:rPr>
          <w:rFonts w:ascii="Times New Roman" w:hAnsi="Times New Roman"/>
        </w:rPr>
        <w:t xml:space="preserve">vat nimellisesti </w:t>
      </w:r>
      <w:r w:rsidRPr="00347952">
        <w:rPr>
          <w:rFonts w:ascii="Times New Roman" w:hAnsi="Times New Roman"/>
        </w:rPr>
        <w:t>jonkun muun omistukse</w:t>
      </w:r>
      <w:r w:rsidR="00DC1CE6">
        <w:rPr>
          <w:rFonts w:ascii="Times New Roman" w:hAnsi="Times New Roman"/>
        </w:rPr>
        <w:t>ssa</w:t>
      </w:r>
      <w:r w:rsidRPr="00347952">
        <w:rPr>
          <w:rFonts w:ascii="Times New Roman" w:hAnsi="Times New Roman"/>
        </w:rPr>
        <w:t>, kyseiset varat on jäädytettävä 2 artiklan 1 kohdan mukaisesti. Sillä ei ole väliä, milloin varat siirrettiin.</w:t>
      </w:r>
    </w:p>
    <w:p w14:paraId="38BC7D49" w14:textId="33B9EA81" w:rsidR="00347952" w:rsidRPr="00347952" w:rsidRDefault="00347952" w:rsidP="00DC1CE6">
      <w:pPr>
        <w:spacing w:line="240" w:lineRule="auto"/>
        <w:ind w:left="1304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 xml:space="preserve">Arvioinnin osalta arviointiperusteet, jotka komissio oli aiemmin esitellyt valvonnan </w:t>
      </w:r>
      <w:r w:rsidR="00E03D1A">
        <w:rPr>
          <w:rFonts w:ascii="Times New Roman" w:hAnsi="Times New Roman"/>
        </w:rPr>
        <w:t xml:space="preserve">(määräysvallan) </w:t>
      </w:r>
      <w:r w:rsidRPr="00347952">
        <w:rPr>
          <w:rFonts w:ascii="Times New Roman" w:hAnsi="Times New Roman"/>
        </w:rPr>
        <w:t>yhteydessä, eivät olleet tyhjentäviä. Tilanteissa, joissa on osallisena kolmansia henkilöitä (ja mahdollisia perhesuhteita), voitaisiin ottaa huomioon myös muita tekijöitä, kuten:</w:t>
      </w:r>
    </w:p>
    <w:p w14:paraId="321F2F63" w14:textId="2A379151" w:rsidR="00347952" w:rsidRPr="00DC1CE6" w:rsidRDefault="00DC1CE6" w:rsidP="00DC1CE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listatun </w:t>
      </w:r>
      <w:r w:rsidR="00347952" w:rsidRPr="00DC1CE6">
        <w:rPr>
          <w:rFonts w:ascii="Times New Roman" w:hAnsi="Times New Roman"/>
        </w:rPr>
        <w:t>henkilön ja kolmannen henkilön välisten liiketoiminta - ja perhesuhteiden läheisyys;</w:t>
      </w:r>
    </w:p>
    <w:p w14:paraId="7169C8F2" w14:textId="2DD9712A" w:rsidR="00347952" w:rsidRPr="00DC1CE6" w:rsidRDefault="00DC1CE6" w:rsidP="00DC1CE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varat</w:t>
      </w:r>
      <w:r w:rsidR="00347952" w:rsidRPr="00DC1CE6">
        <w:rPr>
          <w:rFonts w:ascii="Times New Roman" w:hAnsi="Times New Roman"/>
        </w:rPr>
        <w:t xml:space="preserve"> omistavan kolmannen henkilön ammatillinen riippumattomuus;</w:t>
      </w:r>
    </w:p>
    <w:p w14:paraId="024EDFE8" w14:textId="4577DD81" w:rsidR="00347952" w:rsidRPr="00DC1CE6" w:rsidRDefault="00347952" w:rsidP="00DC1CE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 w:rsidRPr="00DC1CE6">
        <w:rPr>
          <w:rFonts w:ascii="Times New Roman" w:hAnsi="Times New Roman"/>
        </w:rPr>
        <w:t>kolmannelle henkilölle aiemmin ann</w:t>
      </w:r>
      <w:r w:rsidR="00DC1CE6">
        <w:rPr>
          <w:rFonts w:ascii="Times New Roman" w:hAnsi="Times New Roman"/>
        </w:rPr>
        <w:t>etut lahjat ja niiden vertautuminen</w:t>
      </w:r>
      <w:r w:rsidRPr="00DC1CE6">
        <w:rPr>
          <w:rFonts w:ascii="Times New Roman" w:hAnsi="Times New Roman"/>
        </w:rPr>
        <w:t xml:space="preserve"> kyseiseen liiketoimeen;</w:t>
      </w:r>
    </w:p>
    <w:p w14:paraId="26F081A7" w14:textId="78B64ABA" w:rsidR="00347952" w:rsidRPr="00DC1CE6" w:rsidRDefault="00347952" w:rsidP="00DC1CE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 w:rsidRPr="00DC1CE6">
        <w:rPr>
          <w:rFonts w:ascii="Times New Roman" w:hAnsi="Times New Roman"/>
        </w:rPr>
        <w:t>aiempien lahjojen antotiheys/säännöllisyys kolmannelle henkilölle;</w:t>
      </w:r>
    </w:p>
    <w:p w14:paraId="73AAAA40" w14:textId="5088C275" w:rsidR="00347952" w:rsidRPr="00DC1CE6" w:rsidRDefault="00DC1CE6" w:rsidP="00DC1CE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listatun</w:t>
      </w:r>
      <w:r w:rsidR="00347952" w:rsidRPr="00DC1CE6">
        <w:rPr>
          <w:rFonts w:ascii="Times New Roman" w:hAnsi="Times New Roman"/>
        </w:rPr>
        <w:t xml:space="preserve"> henkilön ja kolmannen henkilön välisten virallisten sopimusten sisältö;</w:t>
      </w:r>
    </w:p>
    <w:p w14:paraId="5043F341" w14:textId="11D389BD" w:rsidR="00347952" w:rsidRPr="00DC1CE6" w:rsidRDefault="00347952" w:rsidP="00DC1CE6">
      <w:pPr>
        <w:pStyle w:val="ListParagraph"/>
        <w:numPr>
          <w:ilvl w:val="0"/>
          <w:numId w:val="19"/>
        </w:numPr>
        <w:spacing w:line="240" w:lineRule="auto"/>
        <w:jc w:val="both"/>
        <w:rPr>
          <w:rFonts w:ascii="Times New Roman" w:hAnsi="Times New Roman"/>
        </w:rPr>
      </w:pPr>
      <w:r w:rsidRPr="00DC1CE6">
        <w:rPr>
          <w:rFonts w:ascii="Times New Roman" w:hAnsi="Times New Roman"/>
        </w:rPr>
        <w:t>varojen luonne (esim. ovatko nämä listatun henkilön omistaman tai määräysvallassa olevan yhtiön osakkeita).</w:t>
      </w:r>
      <w:r w:rsidR="00E03D1A">
        <w:rPr>
          <w:rStyle w:val="FootnoteReference"/>
          <w:rFonts w:ascii="Times New Roman" w:hAnsi="Times New Roman"/>
        </w:rPr>
        <w:footnoteReference w:id="9"/>
      </w:r>
    </w:p>
    <w:p w14:paraId="43AB3A97" w14:textId="7F66E00D" w:rsidR="00347952" w:rsidRPr="00DC1CE6" w:rsidRDefault="00DC1CE6" w:rsidP="00347952">
      <w:pPr>
        <w:spacing w:line="240" w:lineRule="auto"/>
        <w:jc w:val="both"/>
        <w:rPr>
          <w:rFonts w:ascii="Times New Roman" w:hAnsi="Times New Roman"/>
          <w:b/>
        </w:rPr>
      </w:pPr>
      <w:r w:rsidRPr="00DC1CE6">
        <w:rPr>
          <w:rFonts w:ascii="Times New Roman" w:hAnsi="Times New Roman"/>
          <w:b/>
        </w:rPr>
        <w:t>Määräysvalta</w:t>
      </w:r>
    </w:p>
    <w:p w14:paraId="1AF38A26" w14:textId="77777777" w:rsidR="00347952" w:rsidRPr="00347952" w:rsidRDefault="00347952" w:rsidP="00347952">
      <w:pPr>
        <w:spacing w:line="240" w:lineRule="auto"/>
        <w:jc w:val="both"/>
        <w:rPr>
          <w:rFonts w:ascii="Times New Roman" w:hAnsi="Times New Roman"/>
        </w:rPr>
      </w:pPr>
      <w:r w:rsidRPr="00347952">
        <w:rPr>
          <w:rFonts w:ascii="Times New Roman" w:hAnsi="Times New Roman"/>
        </w:rPr>
        <w:t>EU:n parhaissa käytännöissä todetaan valvontakriteereistä seuraavaa:</w:t>
      </w:r>
    </w:p>
    <w:p w14:paraId="433D24ED" w14:textId="312814BA" w:rsidR="00347952" w:rsidRPr="00060831" w:rsidRDefault="00347952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63. Perusteisiin, jotka on otettava huomioon arvioitaessa, onko oikeushenkilö tai yhteisö joko yksin tai muun osakkaan tai kolmannen osapuolen kanssa tehdyn sopimuksen nojalla toisen henkilön tai yhteisön määräysvallassa, voi kuulua muun muassa:</w:t>
      </w:r>
    </w:p>
    <w:p w14:paraId="755C47E4" w14:textId="1FA2166E" w:rsidR="00347952" w:rsidRPr="00060831" w:rsidRDefault="00347952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a) oikeus tai valtuudet nimittää tai erottaa enemmistö kyseisen oikeushenkilön tai yhteisön hallinto-, johto- tai valvontaelinten jäsenistä;</w:t>
      </w:r>
    </w:p>
    <w:p w14:paraId="68849F6E" w14:textId="32F373EF" w:rsidR="00347952" w:rsidRPr="00060831" w:rsidRDefault="00347952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b) se, että on yksin äänioikeuttaan käyttäen nimittänyt enemmistön oikeushenkilön tai yhteisön hallinto-, johto- tai valvontaelinten jäsenistä, jotka ovat toimineet tehtävässä kuluvan tai edellisen tilikauden aikana;</w:t>
      </w:r>
    </w:p>
    <w:p w14:paraId="6EC8EEF9" w14:textId="0659CE60" w:rsidR="00347952" w:rsidRPr="00AD3A23" w:rsidRDefault="00347952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c) se, että oikeushenkilön tai yhteisön muiden osakkaiden tai jäsenten kanssa tehdyn sopimuksen nojalla määrää yksin enemmistöstä osakkaiden tai jäsenten äänistä kyseisessä oikeushenkilössä tai yhteisössä;</w:t>
      </w:r>
    </w:p>
    <w:p w14:paraId="30CB4E8F" w14:textId="1168F1F4" w:rsidR="00347952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d) oikeus käyttää määräävää vaikutusvaltaa oikeushenkilössä tai yhteisössä kyseisen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oikeushenkilön tai yhteisön kanssa tehdyn sopimuksen tai sen perustamiskirjan tai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yhtiöjärjestyksen määräysten nojalla, jos kyseistä oikeushenkilöä tai yhteisöä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koskevassa laissa sallitaan, että siihen sovelletaan tällaista sopimusta tai määräystä;</w:t>
      </w:r>
    </w:p>
    <w:p w14:paraId="0216CA74" w14:textId="77777777" w:rsidR="00E03D1A" w:rsidRPr="00060831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26FA8495" w14:textId="70398FA0" w:rsidR="00347952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e) valta käyttää d alakohdassa tarkoitettua oikeutta käyttää määräävää vaikutusvaltaa,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vaikka ei olisi kyseisen oikeuden haltija18;</w:t>
      </w:r>
    </w:p>
    <w:p w14:paraId="6B47D6EC" w14:textId="77777777" w:rsidR="00E03D1A" w:rsidRPr="00060831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73BD184D" w14:textId="452E5714" w:rsidR="00347952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f) oikeus käyttää oikeushenkilön tai yhteisön koko omaisuutta tai osaa siitä;</w:t>
      </w:r>
    </w:p>
    <w:p w14:paraId="1DCF7D2C" w14:textId="77777777" w:rsidR="00E03D1A" w:rsidRPr="00060831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385A4074" w14:textId="77777777" w:rsidR="00347952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g) sellaisen oikeushenkilön tai yhteisön liiketoiminnan yhtenäinen johtaminen, joiden</w:t>
      </w:r>
    </w:p>
    <w:p w14:paraId="79676CFE" w14:textId="2E8E9361" w:rsidR="00347952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 xml:space="preserve">osalta julkistetaan </w:t>
      </w:r>
      <w:proofErr w:type="spellStart"/>
      <w:r w:rsidRPr="00060831">
        <w:rPr>
          <w:rFonts w:ascii="Times New Roman" w:hAnsi="Times New Roman"/>
        </w:rPr>
        <w:t>konsolidoitu</w:t>
      </w:r>
      <w:proofErr w:type="spellEnd"/>
      <w:r w:rsidRPr="00060831">
        <w:rPr>
          <w:rFonts w:ascii="Times New Roman" w:hAnsi="Times New Roman"/>
        </w:rPr>
        <w:t xml:space="preserve"> tilinpäätös;</w:t>
      </w:r>
    </w:p>
    <w:p w14:paraId="2EB8B8C5" w14:textId="77777777" w:rsidR="00E03D1A" w:rsidRPr="00060831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4EDF79F7" w14:textId="01EACA8B" w:rsidR="00347952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h) se, että vastaa yhteisvastuullisesti oikeushenkilön, ryhmän tai yhteisön rahoitusvastuista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tai takaa niitä.</w:t>
      </w:r>
    </w:p>
    <w:p w14:paraId="2768E195" w14:textId="77777777" w:rsidR="00E03D1A" w:rsidRPr="00060831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0634ECDD" w14:textId="77777777" w:rsidR="00E03D1A" w:rsidRPr="00060831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64. Jos jokin näistä perusteista täyttyy, katsotaan, että oikeushenkilö tai yhteisö on toisen henkilön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tai yhteisön määräysvallassa, ellei tapauskohtaisesti toisin osoiteta.</w:t>
      </w:r>
      <w:r w:rsidR="00E03D1A" w:rsidRPr="00060831">
        <w:rPr>
          <w:rFonts w:ascii="Times New Roman" w:hAnsi="Times New Roman"/>
        </w:rPr>
        <w:t xml:space="preserve"> </w:t>
      </w:r>
    </w:p>
    <w:p w14:paraId="68E1F0AD" w14:textId="77777777" w:rsidR="00E03D1A" w:rsidRPr="00060831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424B2802" w14:textId="2673B286" w:rsidR="00347952" w:rsidRDefault="00347952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  <w:r w:rsidRPr="00060831">
        <w:rPr>
          <w:rFonts w:ascii="Times New Roman" w:hAnsi="Times New Roman"/>
        </w:rPr>
        <w:t>65. Edellä esitettyjen omistusta tai määräysvaltaa koskevien perusteiden täyttyminen voidaan</w:t>
      </w:r>
      <w:r w:rsidR="00E03D1A" w:rsidRPr="00060831">
        <w:rPr>
          <w:rFonts w:ascii="Times New Roman" w:hAnsi="Times New Roman"/>
        </w:rPr>
        <w:t xml:space="preserve"> </w:t>
      </w:r>
      <w:r w:rsidRPr="00060831">
        <w:rPr>
          <w:rFonts w:ascii="Times New Roman" w:hAnsi="Times New Roman"/>
        </w:rPr>
        <w:t>kumota tapauskohtaisesti.</w:t>
      </w:r>
    </w:p>
    <w:p w14:paraId="3F947CCC" w14:textId="77777777" w:rsidR="00E03D1A" w:rsidRDefault="00E03D1A" w:rsidP="00E03D1A">
      <w:pPr>
        <w:spacing w:line="240" w:lineRule="auto"/>
        <w:ind w:left="1304"/>
        <w:contextualSpacing/>
        <w:jc w:val="both"/>
        <w:rPr>
          <w:rFonts w:ascii="Times New Roman" w:hAnsi="Times New Roman"/>
        </w:rPr>
      </w:pPr>
    </w:p>
    <w:p w14:paraId="5DC441B2" w14:textId="3D51B362" w:rsidR="00FB0D16" w:rsidRDefault="00FB0D16" w:rsidP="00347952">
      <w:pPr>
        <w:spacing w:line="240" w:lineRule="auto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Komissio on myös ottanut kantaa valvontakriteereihin</w:t>
      </w:r>
      <w:r w:rsidR="00E03D1A">
        <w:rPr>
          <w:rFonts w:ascii="Times New Roman" w:hAnsi="Times New Roman"/>
        </w:rPr>
        <w:t xml:space="preserve"> (ts. määräysvallan kriteereihin)</w:t>
      </w:r>
      <w:r w:rsidRPr="00FB0D16">
        <w:rPr>
          <w:rFonts w:ascii="Times New Roman" w:hAnsi="Times New Roman"/>
        </w:rPr>
        <w:t>. Komissio on 1</w:t>
      </w:r>
      <w:r w:rsidR="00E03D1A">
        <w:rPr>
          <w:rFonts w:ascii="Times New Roman" w:hAnsi="Times New Roman"/>
        </w:rPr>
        <w:t>.9.2017 antamassaan ilmoituksessaan</w:t>
      </w:r>
      <w:r w:rsidRPr="00FB0D16">
        <w:rPr>
          <w:rFonts w:ascii="Times New Roman" w:hAnsi="Times New Roman"/>
        </w:rPr>
        <w:t xml:space="preserve"> todennut seuraavaa</w:t>
      </w:r>
      <w:r w:rsidR="00712081">
        <w:rPr>
          <w:rStyle w:val="FootnoteReference"/>
          <w:rFonts w:ascii="Times New Roman" w:hAnsi="Times New Roman"/>
        </w:rPr>
        <w:footnoteReference w:id="10"/>
      </w:r>
      <w:r w:rsidRPr="00FB0D16">
        <w:rPr>
          <w:rFonts w:ascii="Times New Roman" w:hAnsi="Times New Roman"/>
        </w:rPr>
        <w:t>:</w:t>
      </w:r>
    </w:p>
    <w:p w14:paraId="03B6EFC2" w14:textId="77777777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Arvioitaessa, onko oikeushenkilö tai yhteisö toisen henkilön tai yhteisön määräysvallassa yksin vai toisen osakkeenomistajan tai muun kolmannen osapuolen kanssa tehdyn sopimuksen nojalla, on tarpeen tehdä tosiasiallinen arviointi näiden kahden yrityksen/yhteisön välisistä organisatorisista, rakenteellisista ja taloudellisista yhteyksistä.</w:t>
      </w:r>
    </w:p>
    <w:p w14:paraId="1C189AFA" w14:textId="1CE546E6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 xml:space="preserve">Ratkaiseva tekijä on se, pystyykö luetteloitu yhteisö vaikuttamaan ratkaisevasti toisen kyseisen yhteisön toimintaan. Vaikka merkittävä omistusosuus on yksi tekijä, joka voi viitata </w:t>
      </w:r>
      <w:r w:rsidR="004B4DED">
        <w:rPr>
          <w:rFonts w:ascii="Times New Roman" w:hAnsi="Times New Roman"/>
        </w:rPr>
        <w:t>määräysvaltaan</w:t>
      </w:r>
      <w:r w:rsidRPr="00FB0D16">
        <w:rPr>
          <w:rFonts w:ascii="Times New Roman" w:hAnsi="Times New Roman"/>
        </w:rPr>
        <w:t xml:space="preserve">, vähimmäiskynnystä ei ole. Jopa </w:t>
      </w:r>
      <w:proofErr w:type="spellStart"/>
      <w:r w:rsidRPr="00FB0D16">
        <w:rPr>
          <w:rFonts w:ascii="Times New Roman" w:hAnsi="Times New Roman"/>
        </w:rPr>
        <w:t>vähemmistöosakkuus</w:t>
      </w:r>
      <w:proofErr w:type="spellEnd"/>
      <w:r w:rsidRPr="00FB0D16">
        <w:rPr>
          <w:rFonts w:ascii="Times New Roman" w:hAnsi="Times New Roman"/>
        </w:rPr>
        <w:t xml:space="preserve"> voi riittää, jos se liittyy vähemmistöosakkaille tavallisesti myönnettyjä oikeuksia suurempiin oikeuksiin ja jos ”johdonmukainen oikeudellinen tai taloudellinen </w:t>
      </w:r>
      <w:r w:rsidR="004B4DED">
        <w:rPr>
          <w:rFonts w:ascii="Times New Roman" w:hAnsi="Times New Roman"/>
        </w:rPr>
        <w:t>arviointi</w:t>
      </w:r>
      <w:r w:rsidRPr="00FB0D16">
        <w:rPr>
          <w:rFonts w:ascii="Times New Roman" w:hAnsi="Times New Roman"/>
        </w:rPr>
        <w:t>” osoittaa, että luettelossa mainittu yhteisö itse asiassa vaikuttaa toiseen yksikköön.</w:t>
      </w:r>
    </w:p>
    <w:p w14:paraId="76FE36D1" w14:textId="009AD929" w:rsidR="00FB0D16" w:rsidRPr="00FB0D16" w:rsidRDefault="00FB0D16" w:rsidP="00982A93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Ratkaisevaa vaikutusvaltaa</w:t>
      </w:r>
      <w:r w:rsidR="00982A93">
        <w:rPr>
          <w:rFonts w:ascii="Times New Roman" w:hAnsi="Times New Roman"/>
        </w:rPr>
        <w:t xml:space="preserve"> osoittavat</w:t>
      </w:r>
      <w:r w:rsidRPr="00FB0D16">
        <w:rPr>
          <w:rFonts w:ascii="Times New Roman" w:hAnsi="Times New Roman"/>
        </w:rPr>
        <w:t xml:space="preserve"> muun muassa seuraavat seikat:</w:t>
      </w:r>
    </w:p>
    <w:p w14:paraId="1189F381" w14:textId="77777777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a) valtuudet nimittää tai erottaa enemmistö tällaisen oikeushenkilön tai yhteisön hallinto -, johto - tai valvontaelimen jäsenistä;</w:t>
      </w:r>
    </w:p>
    <w:p w14:paraId="744F4DD6" w14:textId="77777777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b. oikeushenkilön tai yhteisön varojen käyttö kokonaan tai osittain;</w:t>
      </w:r>
    </w:p>
    <w:p w14:paraId="216A10DE" w14:textId="694B1A72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 xml:space="preserve">c. oikeushenkilön tai yhteisön </w:t>
      </w:r>
      <w:r w:rsidR="00982A93">
        <w:rPr>
          <w:rFonts w:ascii="Times New Roman" w:hAnsi="Times New Roman"/>
        </w:rPr>
        <w:t>rahoitusvastuiden</w:t>
      </w:r>
      <w:r w:rsidRPr="00FB0D16">
        <w:rPr>
          <w:rFonts w:ascii="Times New Roman" w:hAnsi="Times New Roman"/>
        </w:rPr>
        <w:t xml:space="preserve"> yhteisvastuullisuus tai niiden takaaminen;</w:t>
      </w:r>
    </w:p>
    <w:p w14:paraId="7D15CD84" w14:textId="77777777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d. vaikuttaa yritysstrategiaan, toimintapolitiikkaan, liiketoimintasuunnitelmiin, investointeihin, kapasiteettiin, rahoituksen tarjontaan, henkilöstöresursseihin ja oikeudellisiin kysymyksiin;</w:t>
      </w:r>
    </w:p>
    <w:p w14:paraId="487A3BFC" w14:textId="77777777" w:rsidR="00FB0D16" w:rsidRP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e) otetaan käyttöön tai ylläpidetään mekanismeja, joilla seurataan oikeushenkilön tai yhteisön kaupallista toimintaa;</w:t>
      </w:r>
    </w:p>
    <w:p w14:paraId="212B56D0" w14:textId="61463D80" w:rsidR="00FB0D16" w:rsidRDefault="00FB0D16" w:rsidP="00E03D1A">
      <w:pPr>
        <w:spacing w:line="240" w:lineRule="auto"/>
        <w:ind w:left="1304"/>
        <w:jc w:val="both"/>
        <w:rPr>
          <w:rFonts w:ascii="Times New Roman" w:hAnsi="Times New Roman"/>
        </w:rPr>
      </w:pPr>
      <w:r w:rsidRPr="00FB0D16">
        <w:rPr>
          <w:rFonts w:ascii="Times New Roman" w:hAnsi="Times New Roman"/>
        </w:rPr>
        <w:t>f. muut seikat, kuten yrityksen osoitteen jakaminen tai saman nimen käyttäminen, voivat saada kolmansilta osapuolilta vaikutelman, että nämä kaksi yhteisöä ovat itse asiassa osa samaa sitoumusta.</w:t>
      </w:r>
    </w:p>
    <w:p w14:paraId="5EB242B9" w14:textId="77777777" w:rsidR="00E03D1A" w:rsidRDefault="00E03D1A" w:rsidP="00E03D1A">
      <w:pPr>
        <w:spacing w:line="240" w:lineRule="auto"/>
        <w:ind w:left="1304"/>
        <w:jc w:val="both"/>
        <w:rPr>
          <w:rFonts w:ascii="Times New Roman" w:hAnsi="Times New Roman"/>
        </w:rPr>
      </w:pPr>
    </w:p>
    <w:p w14:paraId="57479E82" w14:textId="6774D9EB" w:rsidR="00D66C03" w:rsidRPr="002965AE" w:rsidRDefault="00E03D1A" w:rsidP="00296647">
      <w:pPr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 xml:space="preserve">2. </w:t>
      </w:r>
      <w:r w:rsidR="00D66C03">
        <w:rPr>
          <w:rFonts w:ascii="Times New Roman" w:hAnsi="Times New Roman"/>
          <w:b/>
        </w:rPr>
        <w:t>Mikä on ”tosiasiallinen omistaja ja edunsaaja” ja miksi sillä on väliä?</w:t>
      </w:r>
    </w:p>
    <w:p w14:paraId="5E5A3CA1" w14:textId="4BC732CF" w:rsidR="00FB0D16" w:rsidRDefault="00FB0D16" w:rsidP="00296647">
      <w:pPr>
        <w:spacing w:line="240" w:lineRule="auto"/>
        <w:jc w:val="both"/>
        <w:rPr>
          <w:rFonts w:ascii="Times New Roman" w:hAnsi="Times New Roman"/>
          <w:bCs/>
        </w:rPr>
      </w:pPr>
      <w:r w:rsidRPr="00FB0D16">
        <w:rPr>
          <w:rFonts w:ascii="Times New Roman" w:hAnsi="Times New Roman"/>
          <w:bCs/>
        </w:rPr>
        <w:t xml:space="preserve">Rahanpesun torjuntaa koskevassa lainsäädännössä käytetään ilmaisua </w:t>
      </w:r>
      <w:r w:rsidR="00CE1846">
        <w:rPr>
          <w:rFonts w:ascii="Times New Roman" w:hAnsi="Times New Roman"/>
          <w:bCs/>
        </w:rPr>
        <w:t>”</w:t>
      </w:r>
      <w:r w:rsidR="00706043">
        <w:rPr>
          <w:rFonts w:ascii="Times New Roman" w:hAnsi="Times New Roman"/>
          <w:bCs/>
        </w:rPr>
        <w:t>tosiasiallinen edunsaaja</w:t>
      </w:r>
      <w:r w:rsidR="00CE1846">
        <w:rPr>
          <w:rFonts w:ascii="Times New Roman" w:hAnsi="Times New Roman"/>
          <w:bCs/>
        </w:rPr>
        <w:t>”</w:t>
      </w:r>
      <w:r w:rsidR="00706043">
        <w:rPr>
          <w:rFonts w:ascii="Times New Roman" w:hAnsi="Times New Roman"/>
          <w:bCs/>
        </w:rPr>
        <w:t xml:space="preserve">, englanniksi </w:t>
      </w:r>
      <w:r w:rsidRPr="00FB0D16">
        <w:rPr>
          <w:rFonts w:ascii="Times New Roman" w:hAnsi="Times New Roman"/>
          <w:bCs/>
        </w:rPr>
        <w:t xml:space="preserve">”ultimate </w:t>
      </w:r>
      <w:proofErr w:type="spellStart"/>
      <w:r w:rsidRPr="00FB0D16">
        <w:rPr>
          <w:rFonts w:ascii="Times New Roman" w:hAnsi="Times New Roman"/>
          <w:bCs/>
        </w:rPr>
        <w:t>beneficial</w:t>
      </w:r>
      <w:proofErr w:type="spellEnd"/>
      <w:r w:rsidRPr="00FB0D16">
        <w:rPr>
          <w:rFonts w:ascii="Times New Roman" w:hAnsi="Times New Roman"/>
          <w:bCs/>
        </w:rPr>
        <w:t xml:space="preserve"> </w:t>
      </w:r>
      <w:proofErr w:type="spellStart"/>
      <w:r w:rsidRPr="00FB0D16">
        <w:rPr>
          <w:rFonts w:ascii="Times New Roman" w:hAnsi="Times New Roman"/>
          <w:bCs/>
        </w:rPr>
        <w:t>owner</w:t>
      </w:r>
      <w:proofErr w:type="spellEnd"/>
      <w:r w:rsidRPr="00FB0D16">
        <w:rPr>
          <w:rFonts w:ascii="Times New Roman" w:hAnsi="Times New Roman"/>
          <w:bCs/>
        </w:rPr>
        <w:t xml:space="preserve">” (UBO). </w:t>
      </w:r>
      <w:r w:rsidR="00E03D1A">
        <w:rPr>
          <w:rFonts w:ascii="Times New Roman" w:hAnsi="Times New Roman"/>
          <w:bCs/>
        </w:rPr>
        <w:t xml:space="preserve">Tosiasiallisen edunsaajan tietäminen voi olla hyödyllistä, kun määritetään henkilöä, jolla on määräysvalta liikekumppaniin. </w:t>
      </w:r>
    </w:p>
    <w:p w14:paraId="078B5B84" w14:textId="7FA1B91C" w:rsidR="00D66C03" w:rsidRPr="002965AE" w:rsidRDefault="00D66C03" w:rsidP="00296647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/>
        </w:rPr>
        <w:t>Tosiasiallinen omistaja ja edunsaaja</w:t>
      </w:r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on</w:t>
      </w:r>
      <w:proofErr w:type="gramEnd"/>
      <w:r>
        <w:rPr>
          <w:rFonts w:ascii="Times New Roman" w:hAnsi="Times New Roman"/>
        </w:rPr>
        <w:t xml:space="preserve"> kuka tahansa luonnollinen henkilö, joka viime kädessä omistaa yrityksen tai muun oikeushenkilön tai käyttää siinä määräysvaltaa, ja/tai yksi tai useampi luonnollinen henkilö, jonka lukuun liiketoimi suoritetaan tai toimintaa harjoitetaan.</w:t>
      </w:r>
      <w:r>
        <w:rPr>
          <w:rFonts w:ascii="Times New Roman" w:hAnsi="Times New Roman"/>
          <w:bCs/>
        </w:rPr>
        <w:t xml:space="preserve"> Nyrkkisääntönä (sen vaikuttamatta tapauksen erityisolosuhteisiin) on, että oikeushenkilön tosiasiallinen omistaja ja edunsaaja voi olla luonnollinen henkilö,</w:t>
      </w:r>
    </w:p>
    <w:p w14:paraId="4501FEBE" w14:textId="1E2238F9" w:rsidR="00D66C03" w:rsidRPr="002965AE" w:rsidRDefault="00D66C03" w:rsidP="002966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jonka omistusosuus on vähintään 25 prosenttia tai</w:t>
      </w:r>
    </w:p>
    <w:p w14:paraId="6CB8AB73" w14:textId="1E51227F" w:rsidR="00D66C03" w:rsidRPr="002965AE" w:rsidRDefault="00D66C03" w:rsidP="002966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jolla on vähintään 25 prosenttia äänioikeuksista tai</w:t>
      </w:r>
    </w:p>
    <w:p w14:paraId="6DDBFA79" w14:textId="29A529D8" w:rsidR="00D66C03" w:rsidRPr="002965AE" w:rsidRDefault="00D66C03" w:rsidP="00296647">
      <w:pPr>
        <w:pStyle w:val="ListParagraph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joka on vähintään 25 prosentin omistuksen edunsaaja.</w:t>
      </w:r>
    </w:p>
    <w:p w14:paraId="2971BF79" w14:textId="4D97CD30" w:rsidR="00010297" w:rsidRPr="002965AE" w:rsidRDefault="00D66C03" w:rsidP="00296647">
      <w:pPr>
        <w:spacing w:line="24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/>
          <w:bCs/>
        </w:rPr>
        <w:t>EU:n toimijoiden kannattaa tutustua direktiivin (EU) 2015/849 (rahanpesunvastainen direktiivi) 3 artiklan 6 kohtaan, koska siitä saa lisätietoja oikeushenkilöiden ja oikeudellisten järjestelyjen tosiasiallisten omistajien ja edunsaajien tunnistamisesta.</w:t>
      </w:r>
      <w:r>
        <w:rPr>
          <w:rFonts w:ascii="Times New Roman" w:hAnsi="Times New Roman"/>
          <w:bCs/>
        </w:rPr>
        <w:br w:type="page"/>
      </w:r>
    </w:p>
    <w:p w14:paraId="6DFB4E8B" w14:textId="2F5CA516" w:rsidR="00FF2C23" w:rsidRPr="00862246" w:rsidRDefault="00FF2C23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LIITE II</w:t>
      </w:r>
    </w:p>
    <w:p w14:paraId="0BCB464C" w14:textId="30E65F14" w:rsidR="00497B40" w:rsidRPr="00862246" w:rsidRDefault="0060502D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/>
          <w:b/>
          <w:u w:val="single"/>
        </w:rPr>
        <w:t>Yhteystiedot Suomessa:</w:t>
      </w:r>
    </w:p>
    <w:p w14:paraId="24DACE24" w14:textId="0535B4E6" w:rsidR="0060502D" w:rsidRPr="00862246" w:rsidRDefault="0060502D" w:rsidP="00497B40">
      <w:pPr>
        <w:pStyle w:val="ListParagraph"/>
        <w:numPr>
          <w:ilvl w:val="0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Pakotetiimi, ulkoministeriö, </w:t>
      </w:r>
      <w:hyperlink r:id="rId25" w:history="1">
        <w:r>
          <w:rPr>
            <w:rStyle w:val="Hyperlink"/>
            <w:rFonts w:ascii="Times New Roman" w:hAnsi="Times New Roman"/>
          </w:rPr>
          <w:t>Pakotteet.um@formin.fi</w:t>
        </w:r>
      </w:hyperlink>
      <w:r>
        <w:rPr>
          <w:rFonts w:ascii="Times New Roman" w:hAnsi="Times New Roman"/>
        </w:rPr>
        <w:t xml:space="preserve">, puh. 050 325 5965 (ma–pe klo 13–15) </w:t>
      </w:r>
    </w:p>
    <w:p w14:paraId="06F46BF5" w14:textId="77777777" w:rsidR="0060502D" w:rsidRPr="00DB60A0" w:rsidRDefault="0060502D" w:rsidP="0060502D">
      <w:pPr>
        <w:pStyle w:val="ListParagraph"/>
        <w:rPr>
          <w:rFonts w:ascii="Times New Roman" w:hAnsi="Times New Roman" w:cs="Times New Roman"/>
        </w:rPr>
      </w:pPr>
    </w:p>
    <w:p w14:paraId="527A79BA" w14:textId="77777777" w:rsidR="0060502D" w:rsidRPr="00862246" w:rsidRDefault="0060502D" w:rsidP="0060502D">
      <w:pPr>
        <w:pStyle w:val="ListParagraph"/>
        <w:numPr>
          <w:ilvl w:val="0"/>
          <w:numId w:val="6"/>
        </w:numPr>
        <w:rPr>
          <w:rFonts w:ascii="Times New Roman" w:eastAsiaTheme="minorEastAsia" w:hAnsi="Times New Roman" w:cs="Times New Roman"/>
          <w:noProof/>
        </w:rPr>
      </w:pPr>
      <w:r>
        <w:rPr>
          <w:rFonts w:ascii="Times New Roman" w:hAnsi="Times New Roman"/>
        </w:rPr>
        <w:t>Tulli, valvontaosasto</w:t>
      </w:r>
    </w:p>
    <w:p w14:paraId="6A5CD35B" w14:textId="1FE54518" w:rsidR="0060502D" w:rsidRPr="00862246" w:rsidRDefault="0060502D" w:rsidP="0060502D">
      <w:pPr>
        <w:pStyle w:val="ListParagraph"/>
        <w:numPr>
          <w:ilvl w:val="1"/>
          <w:numId w:val="6"/>
        </w:numPr>
        <w:rPr>
          <w:rFonts w:ascii="Times New Roman" w:eastAsiaTheme="minorEastAsia" w:hAnsi="Times New Roman" w:cs="Times New Roman"/>
          <w:noProof/>
        </w:rPr>
      </w:pPr>
      <w:r>
        <w:rPr>
          <w:rFonts w:ascii="Times New Roman" w:hAnsi="Times New Roman"/>
        </w:rPr>
        <w:t xml:space="preserve">Vihjelomake: </w:t>
      </w:r>
      <w:hyperlink r:id="rId26" w:history="1">
        <w:r>
          <w:rPr>
            <w:rStyle w:val="Hyperlink"/>
            <w:rFonts w:ascii="Times New Roman" w:hAnsi="Times New Roman"/>
          </w:rPr>
          <w:t>https://vihjeet.tulli.fi/</w:t>
        </w:r>
      </w:hyperlink>
      <w:r>
        <w:rPr>
          <w:rFonts w:ascii="Times New Roman" w:hAnsi="Times New Roman"/>
        </w:rPr>
        <w:t xml:space="preserve"> </w:t>
      </w:r>
    </w:p>
    <w:p w14:paraId="146A674E" w14:textId="23309CEC" w:rsidR="000312CC" w:rsidRPr="00862246" w:rsidRDefault="0060502D" w:rsidP="0060502D">
      <w:pPr>
        <w:pStyle w:val="ListParagraph"/>
        <w:numPr>
          <w:ilvl w:val="1"/>
          <w:numId w:val="6"/>
        </w:numPr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Maksuton puhelinpalvelu toimii kiireellisissä tullirikostapauksissa ympärivuorokautisesti numerossa 0800 14 600.  </w:t>
      </w:r>
    </w:p>
    <w:sectPr w:rsidR="000312CC" w:rsidRPr="00862246">
      <w:headerReference w:type="default" r:id="rId27"/>
      <w:footerReference w:type="default" r:id="rId2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942ED4" w14:textId="77777777" w:rsidR="0026550B" w:rsidRDefault="0026550B" w:rsidP="002F6E70">
      <w:pPr>
        <w:spacing w:after="0" w:line="240" w:lineRule="auto"/>
      </w:pPr>
      <w:r>
        <w:separator/>
      </w:r>
    </w:p>
  </w:endnote>
  <w:endnote w:type="continuationSeparator" w:id="0">
    <w:p w14:paraId="2B100314" w14:textId="77777777" w:rsidR="0026550B" w:rsidRDefault="0026550B" w:rsidP="002F6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5D30D" w14:textId="5E6247D8" w:rsidR="00986D63" w:rsidRDefault="00C06727" w:rsidP="00C06727">
    <w:pPr>
      <w:pStyle w:val="Footer"/>
    </w:pPr>
    <w:r>
      <w:t>13.7.2023</w:t>
    </w:r>
    <w:r>
      <w:tab/>
    </w:r>
    <w:r>
      <w:tab/>
    </w:r>
    <w:r w:rsidR="00986D63">
      <w:fldChar w:fldCharType="begin"/>
    </w:r>
    <w:r w:rsidR="00986D63">
      <w:instrText xml:space="preserve"> PAGE   \* MERGEFORMAT </w:instrText>
    </w:r>
    <w:r w:rsidR="00986D63">
      <w:fldChar w:fldCharType="separate"/>
    </w:r>
    <w:r w:rsidR="00993BFF">
      <w:rPr>
        <w:noProof/>
      </w:rPr>
      <w:t>14</w:t>
    </w:r>
    <w:r w:rsidR="00986D63">
      <w:rPr>
        <w:noProof/>
      </w:rPr>
      <w:fldChar w:fldCharType="end"/>
    </w:r>
    <w:r w:rsidR="00986D63">
      <w:rPr>
        <w:noProof/>
      </w:rPr>
      <w:t xml:space="preserve"> (1</w:t>
    </w:r>
    <w:r w:rsidR="00993BFF">
      <w:rPr>
        <w:noProof/>
      </w:rPr>
      <w:t>4</w:t>
    </w:r>
    <w:r w:rsidR="00986D63">
      <w:rPr>
        <w:noProof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FF439" w14:textId="77777777" w:rsidR="0026550B" w:rsidRDefault="0026550B" w:rsidP="002F6E70">
      <w:pPr>
        <w:spacing w:after="0" w:line="240" w:lineRule="auto"/>
      </w:pPr>
      <w:r>
        <w:separator/>
      </w:r>
    </w:p>
  </w:footnote>
  <w:footnote w:type="continuationSeparator" w:id="0">
    <w:p w14:paraId="24DF5951" w14:textId="77777777" w:rsidR="0026550B" w:rsidRDefault="0026550B" w:rsidP="002F6E70">
      <w:pPr>
        <w:spacing w:after="0" w:line="240" w:lineRule="auto"/>
      </w:pPr>
      <w:r>
        <w:continuationSeparator/>
      </w:r>
    </w:p>
  </w:footnote>
  <w:footnote w:id="1">
    <w:p w14:paraId="43739195" w14:textId="49FEEBC8" w:rsidR="007F6428" w:rsidRDefault="007F6428">
      <w:pPr>
        <w:pStyle w:val="FootnoteText"/>
      </w:pPr>
      <w:r>
        <w:rPr>
          <w:rStyle w:val="FootnoteReference"/>
        </w:rPr>
        <w:footnoteRef/>
      </w:r>
      <w:r>
        <w:t xml:space="preserve"> Henkilö</w:t>
      </w:r>
      <w:r w:rsidRPr="007F6428">
        <w:t>pakotteet kohdistuvat henkilöihin, jotka ovat vastuussa sellaisten toimien tukemisesta, rahoittamisesta tai täytäntöönpanosta, jotka heikentävät Ukrainan alueellista koskemattomuutta, suvereniteettia ja itsenäisyyttä tai jotka hyötyvät näistä to</w:t>
      </w:r>
      <w:r>
        <w:t>imista. Henkilöpakotteet</w:t>
      </w:r>
      <w:r w:rsidRPr="007F6428">
        <w:t xml:space="preserve"> voivat kohdistua myös henkilöihin tai yhteisöihin, jotka kiertävät EU:n pakotteita tai helpottavat pakotteiden kiertämistä.</w:t>
      </w:r>
    </w:p>
  </w:footnote>
  <w:footnote w:id="2">
    <w:p w14:paraId="33AD2C14" w14:textId="61324CFF" w:rsidR="0053497D" w:rsidRPr="0053497D" w:rsidRDefault="0053497D">
      <w:pPr>
        <w:pStyle w:val="FootnoteText"/>
      </w:pPr>
      <w:r>
        <w:rPr>
          <w:rStyle w:val="FootnoteReference"/>
        </w:rPr>
        <w:footnoteRef/>
      </w:r>
      <w:r w:rsidRPr="0053497D">
        <w:t xml:space="preserve"> Katso esimerkiksi USA:n </w:t>
      </w:r>
      <w:proofErr w:type="spellStart"/>
      <w:r w:rsidRPr="0053497D">
        <w:t>FINCENin</w:t>
      </w:r>
      <w:proofErr w:type="spellEnd"/>
      <w:r w:rsidRPr="0053497D">
        <w:t xml:space="preserve"> ja </w:t>
      </w:r>
      <w:proofErr w:type="spellStart"/>
      <w:r w:rsidRPr="0053497D">
        <w:t>BISin</w:t>
      </w:r>
      <w:proofErr w:type="spellEnd"/>
      <w:r w:rsidRPr="0053497D">
        <w:t xml:space="preserve"> ilmoitusta yrityksistä kiertää pakotteita vientivalvonnan yhteydessä (</w:t>
      </w:r>
      <w:proofErr w:type="spellStart"/>
      <w:r w:rsidR="00993BFF">
        <w:fldChar w:fldCharType="begin"/>
      </w:r>
      <w:r w:rsidR="00993BFF">
        <w:instrText xml:space="preserve"> HYPERLINK "https://www.fincen.gov/sites/default/files/2022-06/FinCEN%20and%20Bis%20Joint%20Alert%20FINAL.pdf" </w:instrText>
      </w:r>
      <w:r w:rsidR="00993BFF">
        <w:fldChar w:fldCharType="separate"/>
      </w:r>
      <w:r w:rsidRPr="0053497D">
        <w:rPr>
          <w:rStyle w:val="Hyperlink"/>
        </w:rPr>
        <w:t>FinCEN</w:t>
      </w:r>
      <w:proofErr w:type="spellEnd"/>
      <w:r w:rsidRPr="0053497D">
        <w:rPr>
          <w:rStyle w:val="Hyperlink"/>
        </w:rPr>
        <w:t xml:space="preserve"> and </w:t>
      </w:r>
      <w:proofErr w:type="spellStart"/>
      <w:r w:rsidRPr="0053497D">
        <w:rPr>
          <w:rStyle w:val="Hyperlink"/>
        </w:rPr>
        <w:t>Bis</w:t>
      </w:r>
      <w:proofErr w:type="spellEnd"/>
      <w:r w:rsidRPr="0053497D">
        <w:rPr>
          <w:rStyle w:val="Hyperlink"/>
        </w:rPr>
        <w:t xml:space="preserve"> </w:t>
      </w:r>
      <w:proofErr w:type="spellStart"/>
      <w:r w:rsidRPr="0053497D">
        <w:rPr>
          <w:rStyle w:val="Hyperlink"/>
        </w:rPr>
        <w:t>Joint</w:t>
      </w:r>
      <w:proofErr w:type="spellEnd"/>
      <w:r w:rsidRPr="0053497D">
        <w:rPr>
          <w:rStyle w:val="Hyperlink"/>
        </w:rPr>
        <w:t xml:space="preserve"> </w:t>
      </w:r>
      <w:proofErr w:type="spellStart"/>
      <w:r w:rsidRPr="0053497D">
        <w:rPr>
          <w:rStyle w:val="Hyperlink"/>
        </w:rPr>
        <w:t>Alert</w:t>
      </w:r>
      <w:proofErr w:type="spellEnd"/>
      <w:r w:rsidR="00993BFF">
        <w:rPr>
          <w:rStyle w:val="Hyperlink"/>
        </w:rPr>
        <w:fldChar w:fldCharType="end"/>
      </w:r>
      <w:r w:rsidRPr="0053497D">
        <w:t>)</w:t>
      </w:r>
    </w:p>
  </w:footnote>
  <w:footnote w:id="3">
    <w:p w14:paraId="0EE1A480" w14:textId="3ABA542B" w:rsidR="00AE2BB6" w:rsidRPr="002965AE" w:rsidRDefault="00AE2BB6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Lisätietoa </w:t>
      </w:r>
      <w:proofErr w:type="spellStart"/>
      <w:r>
        <w:rPr>
          <w:rFonts w:ascii="Times New Roman" w:hAnsi="Times New Roman"/>
        </w:rPr>
        <w:t>kryptopalveluja</w:t>
      </w:r>
      <w:proofErr w:type="spellEnd"/>
      <w:r>
        <w:rPr>
          <w:rFonts w:ascii="Times New Roman" w:hAnsi="Times New Roman"/>
        </w:rPr>
        <w:t xml:space="preserve"> koskevista varoitusmerkeistä: </w:t>
      </w:r>
      <w:hyperlink r:id="rId1" w:history="1">
        <w:proofErr w:type="spellStart"/>
        <w:r>
          <w:rPr>
            <w:rStyle w:val="Hyperlink"/>
            <w:rFonts w:ascii="Times New Roman" w:hAnsi="Times New Roman"/>
          </w:rPr>
          <w:t>FinCEN</w:t>
        </w:r>
        <w:proofErr w:type="spellEnd"/>
        <w:r>
          <w:rPr>
            <w:rStyle w:val="Hyperlink"/>
            <w:rFonts w:ascii="Times New Roman" w:hAnsi="Times New Roman"/>
          </w:rPr>
          <w:t xml:space="preserve"> </w:t>
        </w:r>
        <w:proofErr w:type="spellStart"/>
        <w:r>
          <w:rPr>
            <w:rStyle w:val="Hyperlink"/>
            <w:rFonts w:ascii="Times New Roman" w:hAnsi="Times New Roman"/>
          </w:rPr>
          <w:t>Alert</w:t>
        </w:r>
        <w:proofErr w:type="spellEnd"/>
        <w:r>
          <w:rPr>
            <w:rStyle w:val="Hyperlink"/>
            <w:rFonts w:ascii="Times New Roman" w:hAnsi="Times New Roman"/>
          </w:rPr>
          <w:t>, FIN-2022-Alert001, 7.3.2022</w:t>
        </w:r>
      </w:hyperlink>
      <w:r>
        <w:rPr>
          <w:rFonts w:ascii="Times New Roman" w:hAnsi="Times New Roman"/>
        </w:rPr>
        <w:t xml:space="preserve">, </w:t>
      </w:r>
      <w:hyperlink r:id="rId2" w:history="1">
        <w:r>
          <w:rPr>
            <w:rStyle w:val="Hyperlink"/>
            <w:rFonts w:ascii="Times New Roman" w:hAnsi="Times New Roman"/>
          </w:rPr>
          <w:t>erityistiedote Venäjään liittyvästä rahanpesusta (canada.ca)</w:t>
        </w:r>
      </w:hyperlink>
    </w:p>
  </w:footnote>
  <w:footnote w:id="4">
    <w:p w14:paraId="66293032" w14:textId="01EF6273" w:rsidR="000E3FE7" w:rsidRPr="00A552B9" w:rsidRDefault="000E3FE7" w:rsidP="000E3FE7">
      <w:pPr>
        <w:pStyle w:val="FootnoteText"/>
      </w:pPr>
      <w:r>
        <w:rPr>
          <w:rStyle w:val="FootnoteReference"/>
        </w:rPr>
        <w:footnoteRef/>
      </w:r>
      <w:r w:rsidRPr="00A552B9">
        <w:t xml:space="preserve"> </w:t>
      </w:r>
      <w:r w:rsidR="00A552B9" w:rsidRPr="00A552B9">
        <w:t>https://finance.ec.europa.eu/system/files/2020-01/faqs-restrictive-measures-iran_en.pdf</w:t>
      </w:r>
    </w:p>
  </w:footnote>
  <w:footnote w:id="5">
    <w:p w14:paraId="15550126" w14:textId="662DA8C2" w:rsidR="00706043" w:rsidRPr="00706043" w:rsidRDefault="007060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06043">
        <w:rPr>
          <w:lang w:val="en-US"/>
        </w:rPr>
        <w:t xml:space="preserve"> </w:t>
      </w:r>
      <w:hyperlink r:id="rId3" w:history="1">
        <w:r w:rsidRPr="0069049C">
          <w:rPr>
            <w:rStyle w:val="Hyperlink"/>
            <w:rFonts w:ascii="Times New Roman" w:hAnsi="Times New Roman" w:cs="Times New Roman"/>
            <w:lang w:val="en-US"/>
          </w:rPr>
          <w:t xml:space="preserve">Q&amp;A due diligence on restrictive measures for </w:t>
        </w:r>
        <w:proofErr w:type="spellStart"/>
        <w:r w:rsidRPr="0069049C">
          <w:rPr>
            <w:rStyle w:val="Hyperlink"/>
            <w:rFonts w:ascii="Times New Roman" w:hAnsi="Times New Roman" w:cs="Times New Roman"/>
            <w:lang w:val="en-US"/>
          </w:rPr>
          <w:t>eu</w:t>
        </w:r>
        <w:proofErr w:type="spellEnd"/>
        <w:r w:rsidRPr="0069049C">
          <w:rPr>
            <w:rStyle w:val="Hyperlink"/>
            <w:rFonts w:ascii="Times New Roman" w:hAnsi="Times New Roman" w:cs="Times New Roman"/>
            <w:lang w:val="en-US"/>
          </w:rPr>
          <w:t xml:space="preserve"> businesses dealing with Iran (europa.eu)</w:t>
        </w:r>
      </w:hyperlink>
    </w:p>
  </w:footnote>
  <w:footnote w:id="6">
    <w:p w14:paraId="64F1BBB9" w14:textId="45F1C009" w:rsidR="00706043" w:rsidRPr="00706043" w:rsidRDefault="007060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06043">
        <w:rPr>
          <w:lang w:val="en-US"/>
        </w:rPr>
        <w:t xml:space="preserve"> </w:t>
      </w:r>
      <w:hyperlink r:id="rId4" w:history="1">
        <w:r w:rsidRPr="0069049C">
          <w:rPr>
            <w:rStyle w:val="Hyperlink"/>
            <w:rFonts w:ascii="Times New Roman" w:hAnsi="Times New Roman" w:cs="Times New Roman"/>
            <w:lang w:val="en-US"/>
          </w:rPr>
          <w:t>https://data.consilium.europa.eu/doc/document/ST-10572-2022-INIT/en/pdf</w:t>
        </w:r>
      </w:hyperlink>
      <w:r>
        <w:rPr>
          <w:rFonts w:ascii="Times New Roman" w:hAnsi="Times New Roman" w:cs="Times New Roman"/>
          <w:lang w:val="en-US"/>
        </w:rPr>
        <w:t>.</w:t>
      </w:r>
    </w:p>
  </w:footnote>
  <w:footnote w:id="7">
    <w:p w14:paraId="7B810468" w14:textId="2E55C41E" w:rsidR="00706043" w:rsidRPr="00706043" w:rsidRDefault="007060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06043">
        <w:rPr>
          <w:lang w:val="en-US"/>
        </w:rPr>
        <w:t xml:space="preserve"> </w:t>
      </w:r>
      <w:hyperlink r:id="rId5" w:history="1">
        <w:r w:rsidRPr="0069049C">
          <w:rPr>
            <w:rStyle w:val="Hyperlink"/>
            <w:rFonts w:ascii="Times New Roman" w:hAnsi="Times New Roman" w:cs="Times New Roman"/>
            <w:lang w:val="en-US"/>
          </w:rPr>
          <w:t>https://finance.ec.europa.eu/eu-and-world/sanctions-restrictive-measures/sanctions-adopted-following-russias-military-aggression-against-ukraine/frequently-asked-questions-sanctions-against-russia_en</w:t>
        </w:r>
      </w:hyperlink>
      <w:r>
        <w:rPr>
          <w:rFonts w:ascii="Times New Roman" w:hAnsi="Times New Roman" w:cs="Times New Roman"/>
          <w:lang w:val="en-US"/>
        </w:rPr>
        <w:t>.</w:t>
      </w:r>
    </w:p>
  </w:footnote>
  <w:footnote w:id="8">
    <w:p w14:paraId="6E537032" w14:textId="6A10D86D" w:rsidR="00706043" w:rsidRPr="00706043" w:rsidRDefault="00706043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706043">
        <w:rPr>
          <w:lang w:val="en-US"/>
        </w:rPr>
        <w:t xml:space="preserve"> </w:t>
      </w:r>
      <w:hyperlink r:id="rId6" w:history="1">
        <w:r w:rsidRPr="0069049C">
          <w:rPr>
            <w:rStyle w:val="Hyperlink"/>
            <w:rFonts w:ascii="Times New Roman" w:hAnsi="Times New Roman" w:cs="Times New Roman"/>
            <w:lang w:val="en-US"/>
          </w:rPr>
          <w:t>https://finance.ec.europa.eu/system/files/2023-05/faqs-sanctions-russia-assets-freezes_en.pdf</w:t>
        </w:r>
      </w:hyperlink>
      <w:r w:rsidRPr="0069049C">
        <w:rPr>
          <w:rFonts w:ascii="Times New Roman" w:hAnsi="Times New Roman" w:cs="Times New Roman"/>
          <w:lang w:val="en-US"/>
        </w:rPr>
        <w:t>, question 8.</w:t>
      </w:r>
    </w:p>
  </w:footnote>
  <w:footnote w:id="9">
    <w:p w14:paraId="7B57E090" w14:textId="6097DAB6" w:rsidR="00E03D1A" w:rsidRPr="00E03D1A" w:rsidRDefault="00E03D1A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 w:rsidRPr="00E03D1A">
        <w:rPr>
          <w:lang w:val="en-US"/>
        </w:rPr>
        <w:t xml:space="preserve"> </w:t>
      </w:r>
      <w:r w:rsidR="00993BFF">
        <w:fldChar w:fldCharType="begin"/>
      </w:r>
      <w:r w:rsidR="00993BFF" w:rsidRPr="00A552B9">
        <w:rPr>
          <w:lang w:val="en-US"/>
        </w:rPr>
        <w:instrText xml:space="preserve">https://finance.ec.europa.eu/system/files/2023-05/faqs-sanctions-russia-assets-freezes_en.pdf" </w:instrText>
      </w:r>
      <w:r w:rsidR="00993BFF">
        <w:fldChar w:fldCharType="separate"/>
      </w:r>
      <w:r w:rsidRPr="00C37BB9">
        <w:rPr>
          <w:rStyle w:val="Hyperlink"/>
          <w:rFonts w:ascii="Times New Roman" w:hAnsi="Times New Roman" w:cs="Times New Roman"/>
          <w:lang w:val="en-US"/>
        </w:rPr>
        <w:t>https://finance.ec.europa.eu/system/files/2023-05/faqs-sanctions-russia-assets-freezes_en.pdf</w:t>
      </w:r>
      <w:r w:rsidR="00993BFF">
        <w:rPr>
          <w:rStyle w:val="Hyperlink"/>
          <w:rFonts w:ascii="Times New Roman" w:hAnsi="Times New Roman" w:cs="Times New Roman"/>
          <w:lang w:val="en-US"/>
        </w:rPr>
        <w:fldChar w:fldCharType="end"/>
      </w:r>
      <w:r w:rsidRPr="00C37BB9">
        <w:rPr>
          <w:rFonts w:ascii="Times New Roman" w:hAnsi="Times New Roman" w:cs="Times New Roman"/>
          <w:lang w:val="en-US"/>
        </w:rPr>
        <w:t xml:space="preserve">, question </w:t>
      </w:r>
      <w:proofErr w:type="gramStart"/>
      <w:r w:rsidRPr="00C37BB9">
        <w:rPr>
          <w:rFonts w:ascii="Times New Roman" w:hAnsi="Times New Roman" w:cs="Times New Roman"/>
          <w:lang w:val="en-US"/>
        </w:rPr>
        <w:t>5</w:t>
      </w:r>
      <w:proofErr w:type="gramEnd"/>
      <w:r w:rsidRPr="00C37BB9">
        <w:rPr>
          <w:rFonts w:ascii="Times New Roman" w:hAnsi="Times New Roman" w:cs="Times New Roman"/>
          <w:lang w:val="en-US"/>
        </w:rPr>
        <w:t>.</w:t>
      </w:r>
    </w:p>
  </w:footnote>
  <w:footnote w:id="10">
    <w:p w14:paraId="5E447EC3" w14:textId="0FA7CBCC" w:rsidR="00712081" w:rsidRPr="00AF5213" w:rsidRDefault="00712081">
      <w:pPr>
        <w:pStyle w:val="FootnoteText"/>
        <w:rPr>
          <w:rFonts w:ascii="Times New Roman" w:hAnsi="Times New Roman" w:cs="Times New Roman"/>
        </w:rPr>
      </w:pPr>
      <w:r w:rsidRPr="00AF5213">
        <w:rPr>
          <w:rStyle w:val="FootnoteReference"/>
          <w:rFonts w:ascii="Times New Roman" w:hAnsi="Times New Roman" w:cs="Times New Roman"/>
        </w:rPr>
        <w:footnoteRef/>
      </w:r>
      <w:r w:rsidRPr="00AF5213">
        <w:rPr>
          <w:rFonts w:ascii="Times New Roman" w:hAnsi="Times New Roman" w:cs="Times New Roman"/>
        </w:rPr>
        <w:t xml:space="preserve"> Kysymyksiä ja vastauksia rajoittavista toimenpiteitä koskevasta asianmukaisesta huolellisuudesta Iranin kanssa kauppaa käyville EU:n yrityksille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2B17EB" w14:textId="7E012C9C" w:rsidR="00D61328" w:rsidRDefault="00D61328" w:rsidP="00D61328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34BF7"/>
    <w:multiLevelType w:val="hybridMultilevel"/>
    <w:tmpl w:val="F33021E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B551E5"/>
    <w:multiLevelType w:val="hybridMultilevel"/>
    <w:tmpl w:val="F7D2C1DE"/>
    <w:lvl w:ilvl="0" w:tplc="040B001B">
      <w:start w:val="1"/>
      <w:numFmt w:val="lowerRoman"/>
      <w:lvlText w:val="%1."/>
      <w:lvlJc w:val="right"/>
      <w:pPr>
        <w:ind w:left="2214" w:hanging="360"/>
      </w:pPr>
    </w:lvl>
    <w:lvl w:ilvl="1" w:tplc="040B0019">
      <w:start w:val="1"/>
      <w:numFmt w:val="lowerLetter"/>
      <w:lvlText w:val="%2."/>
      <w:lvlJc w:val="left"/>
      <w:pPr>
        <w:ind w:left="2934" w:hanging="360"/>
      </w:pPr>
    </w:lvl>
    <w:lvl w:ilvl="2" w:tplc="040B001B">
      <w:start w:val="1"/>
      <w:numFmt w:val="lowerRoman"/>
      <w:lvlText w:val="%3."/>
      <w:lvlJc w:val="right"/>
      <w:pPr>
        <w:ind w:left="3654" w:hanging="180"/>
      </w:pPr>
    </w:lvl>
    <w:lvl w:ilvl="3" w:tplc="040B000F" w:tentative="1">
      <w:start w:val="1"/>
      <w:numFmt w:val="decimal"/>
      <w:lvlText w:val="%4."/>
      <w:lvlJc w:val="left"/>
      <w:pPr>
        <w:ind w:left="4374" w:hanging="360"/>
      </w:pPr>
    </w:lvl>
    <w:lvl w:ilvl="4" w:tplc="040B0019" w:tentative="1">
      <w:start w:val="1"/>
      <w:numFmt w:val="lowerLetter"/>
      <w:lvlText w:val="%5."/>
      <w:lvlJc w:val="left"/>
      <w:pPr>
        <w:ind w:left="5094" w:hanging="360"/>
      </w:pPr>
    </w:lvl>
    <w:lvl w:ilvl="5" w:tplc="040B001B" w:tentative="1">
      <w:start w:val="1"/>
      <w:numFmt w:val="lowerRoman"/>
      <w:lvlText w:val="%6."/>
      <w:lvlJc w:val="right"/>
      <w:pPr>
        <w:ind w:left="5814" w:hanging="180"/>
      </w:pPr>
    </w:lvl>
    <w:lvl w:ilvl="6" w:tplc="040B000F" w:tentative="1">
      <w:start w:val="1"/>
      <w:numFmt w:val="decimal"/>
      <w:lvlText w:val="%7."/>
      <w:lvlJc w:val="left"/>
      <w:pPr>
        <w:ind w:left="6534" w:hanging="360"/>
      </w:pPr>
    </w:lvl>
    <w:lvl w:ilvl="7" w:tplc="040B0019" w:tentative="1">
      <w:start w:val="1"/>
      <w:numFmt w:val="lowerLetter"/>
      <w:lvlText w:val="%8."/>
      <w:lvlJc w:val="left"/>
      <w:pPr>
        <w:ind w:left="7254" w:hanging="360"/>
      </w:pPr>
    </w:lvl>
    <w:lvl w:ilvl="8" w:tplc="040B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2" w15:restartNumberingAfterBreak="0">
    <w:nsid w:val="12E634D9"/>
    <w:multiLevelType w:val="hybridMultilevel"/>
    <w:tmpl w:val="7644B33A"/>
    <w:lvl w:ilvl="0" w:tplc="4EE04B18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CD6C4606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D3BA8"/>
    <w:multiLevelType w:val="hybridMultilevel"/>
    <w:tmpl w:val="C902EA4A"/>
    <w:lvl w:ilvl="0" w:tplc="F59E5B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2469FA"/>
    <w:multiLevelType w:val="hybridMultilevel"/>
    <w:tmpl w:val="C8ECB30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82386A"/>
    <w:multiLevelType w:val="hybridMultilevel"/>
    <w:tmpl w:val="3E62B7C4"/>
    <w:lvl w:ilvl="0" w:tplc="30D2447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391750"/>
    <w:multiLevelType w:val="hybridMultilevel"/>
    <w:tmpl w:val="370879EC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2F3CC9"/>
    <w:multiLevelType w:val="hybridMultilevel"/>
    <w:tmpl w:val="52E80318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8722CA5"/>
    <w:multiLevelType w:val="hybridMultilevel"/>
    <w:tmpl w:val="DB10AA46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 w15:restartNumberingAfterBreak="0">
    <w:nsid w:val="3A145E53"/>
    <w:multiLevelType w:val="hybridMultilevel"/>
    <w:tmpl w:val="3B8AA3DE"/>
    <w:lvl w:ilvl="0" w:tplc="D4D21C76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A363F"/>
    <w:multiLevelType w:val="hybridMultilevel"/>
    <w:tmpl w:val="A392C0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351150"/>
    <w:multiLevelType w:val="hybridMultilevel"/>
    <w:tmpl w:val="4880B53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893BCF"/>
    <w:multiLevelType w:val="hybridMultilevel"/>
    <w:tmpl w:val="6254D0C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15B5B"/>
    <w:multiLevelType w:val="hybridMultilevel"/>
    <w:tmpl w:val="4568263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9F740F"/>
    <w:multiLevelType w:val="hybridMultilevel"/>
    <w:tmpl w:val="010EF4D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5BC7DBC"/>
    <w:multiLevelType w:val="hybridMultilevel"/>
    <w:tmpl w:val="691CBAA2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6F60F64"/>
    <w:multiLevelType w:val="hybridMultilevel"/>
    <w:tmpl w:val="97BC89EA"/>
    <w:lvl w:ilvl="0" w:tplc="5C9C34E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D0D4DA54">
      <w:start w:val="1"/>
      <w:numFmt w:val="lowerLetter"/>
      <w:lvlText w:val="%2."/>
      <w:lvlJc w:val="left"/>
      <w:pPr>
        <w:ind w:left="1494" w:hanging="360"/>
      </w:pPr>
      <w:rPr>
        <w:b w:val="0"/>
        <w:bCs/>
      </w:r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EA02B7"/>
    <w:multiLevelType w:val="hybridMultilevel"/>
    <w:tmpl w:val="9A647E9E"/>
    <w:lvl w:ilvl="0" w:tplc="17E62E0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A381100"/>
    <w:multiLevelType w:val="hybridMultilevel"/>
    <w:tmpl w:val="D97056BC"/>
    <w:lvl w:ilvl="0" w:tplc="04270017">
      <w:start w:val="1"/>
      <w:numFmt w:val="lowerLetter"/>
      <w:lvlText w:val="%1)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F356BF"/>
    <w:multiLevelType w:val="hybridMultilevel"/>
    <w:tmpl w:val="98EC3CC4"/>
    <w:lvl w:ilvl="0" w:tplc="040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BB52AE38">
      <w:start w:val="6"/>
      <w:numFmt w:val="bullet"/>
      <w:lvlText w:val="•"/>
      <w:lvlJc w:val="left"/>
      <w:pPr>
        <w:ind w:left="2700" w:hanging="360"/>
      </w:pPr>
      <w:rPr>
        <w:rFonts w:ascii="Times New Roman" w:eastAsiaTheme="minorHAnsi" w:hAnsi="Times New Roman" w:cs="Times New Roman" w:hint="default"/>
      </w:r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"/>
  </w:num>
  <w:num w:numId="3">
    <w:abstractNumId w:val="16"/>
  </w:num>
  <w:num w:numId="4">
    <w:abstractNumId w:val="15"/>
  </w:num>
  <w:num w:numId="5">
    <w:abstractNumId w:val="19"/>
  </w:num>
  <w:num w:numId="6">
    <w:abstractNumId w:val="13"/>
  </w:num>
  <w:num w:numId="7">
    <w:abstractNumId w:val="0"/>
  </w:num>
  <w:num w:numId="8">
    <w:abstractNumId w:val="18"/>
  </w:num>
  <w:num w:numId="9">
    <w:abstractNumId w:val="10"/>
  </w:num>
  <w:num w:numId="10">
    <w:abstractNumId w:val="5"/>
  </w:num>
  <w:num w:numId="11">
    <w:abstractNumId w:val="12"/>
  </w:num>
  <w:num w:numId="12">
    <w:abstractNumId w:val="14"/>
  </w:num>
  <w:num w:numId="13">
    <w:abstractNumId w:val="11"/>
  </w:num>
  <w:num w:numId="14">
    <w:abstractNumId w:val="4"/>
  </w:num>
  <w:num w:numId="15">
    <w:abstractNumId w:val="3"/>
  </w:num>
  <w:num w:numId="16">
    <w:abstractNumId w:val="17"/>
  </w:num>
  <w:num w:numId="17">
    <w:abstractNumId w:val="9"/>
  </w:num>
  <w:num w:numId="18">
    <w:abstractNumId w:val="8"/>
  </w:num>
  <w:num w:numId="19">
    <w:abstractNumId w:val="7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2CC"/>
    <w:rsid w:val="00010297"/>
    <w:rsid w:val="00020730"/>
    <w:rsid w:val="000312CC"/>
    <w:rsid w:val="00042157"/>
    <w:rsid w:val="00060831"/>
    <w:rsid w:val="00067A34"/>
    <w:rsid w:val="00080DE6"/>
    <w:rsid w:val="00084FB1"/>
    <w:rsid w:val="000A155B"/>
    <w:rsid w:val="000E07DC"/>
    <w:rsid w:val="000E1D24"/>
    <w:rsid w:val="000E3FE7"/>
    <w:rsid w:val="000E5748"/>
    <w:rsid w:val="00136933"/>
    <w:rsid w:val="00173B10"/>
    <w:rsid w:val="0017467D"/>
    <w:rsid w:val="00193869"/>
    <w:rsid w:val="00196850"/>
    <w:rsid w:val="001B31D1"/>
    <w:rsid w:val="001C408F"/>
    <w:rsid w:val="001D66E7"/>
    <w:rsid w:val="001E2099"/>
    <w:rsid w:val="001E28E2"/>
    <w:rsid w:val="002150F0"/>
    <w:rsid w:val="00222C5D"/>
    <w:rsid w:val="0024053A"/>
    <w:rsid w:val="0025779D"/>
    <w:rsid w:val="0026550B"/>
    <w:rsid w:val="002965AE"/>
    <w:rsid w:val="00296647"/>
    <w:rsid w:val="00297032"/>
    <w:rsid w:val="002A04C8"/>
    <w:rsid w:val="002E4713"/>
    <w:rsid w:val="002F6E70"/>
    <w:rsid w:val="00316471"/>
    <w:rsid w:val="00347952"/>
    <w:rsid w:val="00347A66"/>
    <w:rsid w:val="00380304"/>
    <w:rsid w:val="003A2CB5"/>
    <w:rsid w:val="003A6D03"/>
    <w:rsid w:val="003C621A"/>
    <w:rsid w:val="003F7BA3"/>
    <w:rsid w:val="00413374"/>
    <w:rsid w:val="00415CD8"/>
    <w:rsid w:val="00422D49"/>
    <w:rsid w:val="004409FF"/>
    <w:rsid w:val="0044436B"/>
    <w:rsid w:val="00497B40"/>
    <w:rsid w:val="004A3054"/>
    <w:rsid w:val="004B4DED"/>
    <w:rsid w:val="004C2F6F"/>
    <w:rsid w:val="004E64FD"/>
    <w:rsid w:val="004E6C1F"/>
    <w:rsid w:val="00503CCB"/>
    <w:rsid w:val="00515CCC"/>
    <w:rsid w:val="005212F1"/>
    <w:rsid w:val="0053497D"/>
    <w:rsid w:val="005542B9"/>
    <w:rsid w:val="0058458B"/>
    <w:rsid w:val="00584A02"/>
    <w:rsid w:val="005A6B61"/>
    <w:rsid w:val="005C3D4E"/>
    <w:rsid w:val="005D2578"/>
    <w:rsid w:val="0060163E"/>
    <w:rsid w:val="0060502D"/>
    <w:rsid w:val="00620FB2"/>
    <w:rsid w:val="00625809"/>
    <w:rsid w:val="006466BB"/>
    <w:rsid w:val="006477DE"/>
    <w:rsid w:val="00652988"/>
    <w:rsid w:val="00670324"/>
    <w:rsid w:val="00670E07"/>
    <w:rsid w:val="0067258A"/>
    <w:rsid w:val="0067488F"/>
    <w:rsid w:val="006E4239"/>
    <w:rsid w:val="006E64E0"/>
    <w:rsid w:val="006F65D8"/>
    <w:rsid w:val="00706043"/>
    <w:rsid w:val="00712081"/>
    <w:rsid w:val="00713743"/>
    <w:rsid w:val="00721458"/>
    <w:rsid w:val="007304C5"/>
    <w:rsid w:val="00734FB1"/>
    <w:rsid w:val="0077657B"/>
    <w:rsid w:val="007958B0"/>
    <w:rsid w:val="007A6740"/>
    <w:rsid w:val="007F3965"/>
    <w:rsid w:val="007F6428"/>
    <w:rsid w:val="0082710E"/>
    <w:rsid w:val="0082735D"/>
    <w:rsid w:val="0084243B"/>
    <w:rsid w:val="0085601D"/>
    <w:rsid w:val="00862246"/>
    <w:rsid w:val="00865DB1"/>
    <w:rsid w:val="008C0F56"/>
    <w:rsid w:val="008C5BAE"/>
    <w:rsid w:val="00900884"/>
    <w:rsid w:val="009008A5"/>
    <w:rsid w:val="00912066"/>
    <w:rsid w:val="00915509"/>
    <w:rsid w:val="00930894"/>
    <w:rsid w:val="00981F09"/>
    <w:rsid w:val="00982A93"/>
    <w:rsid w:val="00986D63"/>
    <w:rsid w:val="00987F65"/>
    <w:rsid w:val="00993BFF"/>
    <w:rsid w:val="009B5F2A"/>
    <w:rsid w:val="009C4240"/>
    <w:rsid w:val="009F2160"/>
    <w:rsid w:val="00A27071"/>
    <w:rsid w:val="00A552B9"/>
    <w:rsid w:val="00A94B58"/>
    <w:rsid w:val="00AC40C0"/>
    <w:rsid w:val="00AD3A23"/>
    <w:rsid w:val="00AE2BB6"/>
    <w:rsid w:val="00AE756E"/>
    <w:rsid w:val="00AF5213"/>
    <w:rsid w:val="00B203D4"/>
    <w:rsid w:val="00B50634"/>
    <w:rsid w:val="00B61498"/>
    <w:rsid w:val="00B6426E"/>
    <w:rsid w:val="00B71F6A"/>
    <w:rsid w:val="00B942D0"/>
    <w:rsid w:val="00BC11E7"/>
    <w:rsid w:val="00BF55B4"/>
    <w:rsid w:val="00C00331"/>
    <w:rsid w:val="00C06727"/>
    <w:rsid w:val="00C11D98"/>
    <w:rsid w:val="00C33736"/>
    <w:rsid w:val="00C347C9"/>
    <w:rsid w:val="00C659EE"/>
    <w:rsid w:val="00C724DA"/>
    <w:rsid w:val="00C94257"/>
    <w:rsid w:val="00C97B2A"/>
    <w:rsid w:val="00CE1846"/>
    <w:rsid w:val="00CE58D2"/>
    <w:rsid w:val="00CF3CA5"/>
    <w:rsid w:val="00D01E3E"/>
    <w:rsid w:val="00D4019D"/>
    <w:rsid w:val="00D40899"/>
    <w:rsid w:val="00D609C1"/>
    <w:rsid w:val="00D61328"/>
    <w:rsid w:val="00D66C03"/>
    <w:rsid w:val="00D9111D"/>
    <w:rsid w:val="00DA5782"/>
    <w:rsid w:val="00DB3D19"/>
    <w:rsid w:val="00DB60A0"/>
    <w:rsid w:val="00DC1CE6"/>
    <w:rsid w:val="00DD3E73"/>
    <w:rsid w:val="00DE6F3B"/>
    <w:rsid w:val="00DF2F63"/>
    <w:rsid w:val="00E03D1A"/>
    <w:rsid w:val="00E133F9"/>
    <w:rsid w:val="00E16108"/>
    <w:rsid w:val="00E411CB"/>
    <w:rsid w:val="00E54085"/>
    <w:rsid w:val="00E5492E"/>
    <w:rsid w:val="00E630CA"/>
    <w:rsid w:val="00E839A8"/>
    <w:rsid w:val="00E84A7E"/>
    <w:rsid w:val="00EA3706"/>
    <w:rsid w:val="00ED26C0"/>
    <w:rsid w:val="00ED6823"/>
    <w:rsid w:val="00F16064"/>
    <w:rsid w:val="00F22C22"/>
    <w:rsid w:val="00F50978"/>
    <w:rsid w:val="00F777AE"/>
    <w:rsid w:val="00FB0D16"/>
    <w:rsid w:val="00FC133D"/>
    <w:rsid w:val="00FC403F"/>
    <w:rsid w:val="00FC77D4"/>
    <w:rsid w:val="00FE681E"/>
    <w:rsid w:val="00FF2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5F9398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3CC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F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6E70"/>
  </w:style>
  <w:style w:type="paragraph" w:styleId="Footer">
    <w:name w:val="footer"/>
    <w:basedOn w:val="Normal"/>
    <w:link w:val="FooterChar"/>
    <w:uiPriority w:val="99"/>
    <w:unhideWhenUsed/>
    <w:rsid w:val="002F6E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6E70"/>
  </w:style>
  <w:style w:type="character" w:styleId="Hyperlink">
    <w:name w:val="Hyperlink"/>
    <w:basedOn w:val="DefaultParagraphFont"/>
    <w:uiPriority w:val="99"/>
    <w:unhideWhenUsed/>
    <w:rsid w:val="00497B40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65D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65D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65DB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5D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5DB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D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5DB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214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A04C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50634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E2BB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E2BB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E2BB6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DB3D1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4239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347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ec.europa.eu/system/files/2020-01/faqs-restrictive-measures-iran_en.pdf" TargetMode="External"/><Relationship Id="rId13" Type="http://schemas.openxmlformats.org/officeDocument/2006/relationships/image" Target="media/image4.svg"/><Relationship Id="rId18" Type="http://schemas.openxmlformats.org/officeDocument/2006/relationships/image" Target="media/image5.png"/><Relationship Id="rId26" Type="http://schemas.openxmlformats.org/officeDocument/2006/relationships/hyperlink" Target="https://vihjeet.tulli.fi/" TargetMode="External"/><Relationship Id="rId3" Type="http://schemas.openxmlformats.org/officeDocument/2006/relationships/styles" Target="styles.xml"/><Relationship Id="rId21" Type="http://schemas.openxmlformats.org/officeDocument/2006/relationships/image" Target="media/image12.sv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8.svg"/><Relationship Id="rId25" Type="http://schemas.openxmlformats.org/officeDocument/2006/relationships/hyperlink" Target="mailto:Pakotteet.um@formin.fi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image" Target="media/image6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svg"/><Relationship Id="rId24" Type="http://schemas.openxmlformats.org/officeDocument/2006/relationships/hyperlink" Target="https://eusanctions.integrityline.com/setup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6.svg"/><Relationship Id="rId23" Type="http://schemas.openxmlformats.org/officeDocument/2006/relationships/hyperlink" Target="https://finance.ec.europa.eu/system/files/2023-06/230623-list-economically-critical-goods_en.pdf" TargetMode="External"/><Relationship Id="rId28" Type="http://schemas.openxmlformats.org/officeDocument/2006/relationships/footer" Target="footer1.xml"/><Relationship Id="rId19" Type="http://schemas.openxmlformats.org/officeDocument/2006/relationships/image" Target="media/image10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3.png"/><Relationship Id="rId22" Type="http://schemas.openxmlformats.org/officeDocument/2006/relationships/hyperlink" Target="https://finance.ec.europa.eu/system/files/2023-06/230623-list-high-priority-battlefield-items_en.pdf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finance.ec.europa.eu/system/files/2020-01/faqs-restrictive-measures-iran_en.pdf" TargetMode="External"/><Relationship Id="rId2" Type="http://schemas.openxmlformats.org/officeDocument/2006/relationships/hyperlink" Target="https://fintrac-canafe.canada.ca/intel/bulletins/rlml-eng.pdf" TargetMode="External"/><Relationship Id="rId1" Type="http://schemas.openxmlformats.org/officeDocument/2006/relationships/hyperlink" Target="https://www.fincen.gov/sites/default/files/2022-03/FinCEN%20Alert%20Russian%20Sanctions%20Evasion%20FINAL%20508.pdf" TargetMode="External"/><Relationship Id="rId6" Type="http://schemas.openxmlformats.org/officeDocument/2006/relationships/hyperlink" Target="https://finance.ec.europa.eu/system/files/2023-05/faqs-sanctions-russia-assets-freezes_en.pdf" TargetMode="External"/><Relationship Id="rId5" Type="http://schemas.openxmlformats.org/officeDocument/2006/relationships/hyperlink" Target="https://finance.ec.europa.eu/eu-and-world/sanctions-restrictive-measures/sanctions-adopted-following-russias-military-aggression-against-ukraine/frequently-asked-questions-sanctions-against-russia_en" TargetMode="External"/><Relationship Id="rId4" Type="http://schemas.openxmlformats.org/officeDocument/2006/relationships/hyperlink" Target="https://data.consilium.europa.eu/doc/document/ST-10572-2022-INIT/en/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1A8F3-E52F-4C78-9377-6DE96B273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2890</Words>
  <Characters>23416</Characters>
  <Application>Microsoft Office Word</Application>
  <DocSecurity>4</DocSecurity>
  <Lines>195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2023-07-14T02:44:00Z</dcterms:created>
  <dcterms:modified xsi:type="dcterms:W3CDTF">2023-07-14T02:44:00Z</dcterms:modified>
</cp:coreProperties>
</file>